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D46C0D">
        <w:rPr>
          <w:b/>
          <w:bCs/>
          <w:noProof/>
          <w:sz w:val="28"/>
          <w:szCs w:val="28"/>
        </w:rPr>
        <w:instrText>«ParentName»</w:instrText>
      </w:r>
      <w:r w:rsidRPr="00467105">
        <w:rPr>
          <w:b/>
          <w:bCs/>
          <w:sz w:val="28"/>
          <w:szCs w:val="28"/>
        </w:rPr>
        <w:fldChar w:fldCharType="end"/>
      </w:r>
    </w:p>
    <w:p w:rsidR="00D46C0D"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Fourth Annual Spine by the Sea Symposium</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Fourth Annual Spine by the Sea Symposium</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July 11, 2025</w:t>
      </w:r>
      <w:r>
        <w:rPr>
          <w:sz w:val="24"/>
          <w:szCs w:val="24"/>
        </w:rPr>
        <w:fldChar w:fldCharType="begin"/>
      </w:r>
      <w:r>
        <w:rPr>
          <w:sz w:val="24"/>
          <w:szCs w:val="24"/>
        </w:rPr>
        <w:instrText xml:space="preserve"> IF </w:instrText>
      </w:r>
      <w:r>
        <w:rPr>
          <w:sz w:val="24"/>
          <w:szCs w:val="24"/>
        </w:rPr>
        <w:instrText>"</w:instrText>
      </w:r>
      <w:r>
        <w:rPr>
          <w:sz w:val="24"/>
          <w:szCs w:val="24"/>
        </w:rPr>
        <w:instrText>7 11 2025</w:instrText>
      </w:r>
      <w:r>
        <w:rPr>
          <w:sz w:val="24"/>
          <w:szCs w:val="24"/>
        </w:rPr>
        <w:instrText>"</w:instrText>
      </w:r>
      <w:r>
        <w:rPr>
          <w:sz w:val="24"/>
          <w:szCs w:val="24"/>
        </w:rPr>
        <w:instrText xml:space="preserve"> &lt;&gt; </w:instrText>
      </w:r>
      <w:r>
        <w:rPr>
          <w:sz w:val="24"/>
          <w:szCs w:val="24"/>
        </w:rPr>
        <w:instrText>"</w:instrText>
      </w:r>
      <w:r>
        <w:rPr>
          <w:sz w:val="24"/>
          <w:szCs w:val="24"/>
        </w:rPr>
        <w:instrText>7 12 2025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D46C0D">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r>
        <w:rPr>
          <w:rtl w:val="0"/>
        </w:rPr>
        <w:instrText>The current standards of practice in spine-related topics are aimed at fostering interactive dialogue and applying advanced educational knowledge in the management of various spinal conditions. These conditions include disc disease, radiculopathy/myelopathy, spondylolisthesis, spine trauma, sacroiliac joint pain, post-laminectomy syndrome, spinal tumors, and deformity/scoliosis. Through case reviews and studies, the goal is to guide the treatment of patients with spinal conditions, with a specific focus on advancing knowledge and patient care within California.</w:instrText>
      </w: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D46C0D" w:rsidP="004F716E">
      <w:pPr>
        <w:spacing w:after="0" w:line="240" w:lineRule="auto"/>
        <w:contextualSpacing/>
        <w:rPr>
          <w:noProof/>
          <w:sz w:val="20"/>
          <w:szCs w:val="20"/>
        </w:rPr>
      </w:pPr>
      <w:r>
        <w:rPr>
          <w:rtl w:val="0"/>
        </w:rPr>
        <w:instrText>The current standards of practice in spine-related topics are aimed at fostering interactive dialogue and applying advanced educational knowledge in the management of various spinal conditions. These conditions include disc disease, radiculopathy/myelopathy, spondylolisthesis, spine trauma, sacroiliac joint pain, post-laminectomy syndrome, spinal tumors, and deformity/scoliosis. Through case reviews and studies, the goal is to guide the treatment of patients with spinal conditions, with a specific focus on advancing knowledge and patient care within California.</w:instrText>
      </w: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4E13E4" w:rsidP="004F716E">
      <w:pPr>
        <w:spacing w:after="0" w:line="240" w:lineRule="auto"/>
        <w:contextualSpacing/>
        <w:rPr>
          <w:sz w:val="20"/>
          <w:szCs w:val="20"/>
        </w:rPr>
      </w:pPr>
      <w:r>
        <w:rPr>
          <w:rtl w:val="0"/>
        </w:rPr>
        <w:t>The current standards of practice in spine-related topics are aimed at fostering interactive dialogue and applying advanced educational knowledge in the management of various spinal conditions. These conditions include disc disease, radiculopathy/myelopathy, spondylolisthesis, spine trauma, sacroiliac joint pain, post-laminectomy syndrome, spinal tumors, and deformity/scoliosis. Through case reviews and studies, the goal is to guide the treatment of patients with spinal conditions, with a specific focus on advancing knowledge and patient care within California.</w:t>
      </w: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Neurological Surgery, Orthopaedic Surgery</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Non-Physician, Allied Health Professional, Medical Student, Nurse, Nurse Practitioner, Other, Physical Therapist, Physician Assistant, Resident Physician, Psychologist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Neurological Surgery, Orthopaedic Surgery</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Neurological Surgery, Orthopaedic Surgery</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Neurological Surgery, Orthopaedic Surgery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Non-Physician, Allied Health Professional, Medical Student, Nurse, Nurse Practitioner, Other, Physical Therapist, Physician Assistant, Resident Physician, Psychologist</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Allied Health Professional, Medical Student, Nurse, Nurse Practitioner, Other, Physical Therapist, Physician Assistant, Resident Physician, Psychologist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Allied Health Professional, Medical Student, Nurse, Nurse Practitioner, Other, Physical Therapist, Physician Assistant, Resident Physician, Psychologist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Neurological Surgery, Orthopaedic Surgery</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Non-Physician, Allied Health Professional, Medical Student, Nurse, Nurse Practitioner, Other, Physical Therapist, Physician Assistant, Resident Physician, Psychologist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Improve clinical knowledge of spinal pathology.</w:instrText>
      </w:r>
    </w:p>
    <w:p w:rsidR="00467105" w:rsidP="0042796F">
      <w:pPr>
        <w:spacing w:after="0" w:line="240" w:lineRule="auto"/>
        <w:contextualSpacing/>
        <w:rPr>
          <w:sz w:val="20"/>
          <w:szCs w:val="20"/>
        </w:rPr>
      </w:pPr>
      <w:r>
        <w:rPr>
          <w:sz w:val="20"/>
          <w:szCs w:val="20"/>
        </w:rPr>
        <w:instrText>2 Identify various spinal disease and variations in treatment of spinal diseases.</w:instrText>
      </w:r>
    </w:p>
    <w:p w:rsidR="00467105" w:rsidP="0042796F">
      <w:pPr>
        <w:spacing w:after="0" w:line="240" w:lineRule="auto"/>
        <w:contextualSpacing/>
        <w:rPr>
          <w:sz w:val="20"/>
          <w:szCs w:val="20"/>
        </w:rPr>
      </w:pPr>
      <w:r>
        <w:rPr>
          <w:sz w:val="20"/>
          <w:szCs w:val="20"/>
        </w:rPr>
        <w:instrText>3 Improve collaborative effort with other spine surgeons and related healthcare providers.</w:instrText>
      </w:r>
    </w:p>
    <w:p w:rsidR="00467105" w:rsidP="0042796F">
      <w:pPr>
        <w:spacing w:after="0" w:line="240" w:lineRule="auto"/>
        <w:contextualSpacing/>
        <w:rPr>
          <w:sz w:val="20"/>
          <w:szCs w:val="20"/>
        </w:rPr>
      </w:pPr>
      <w:r>
        <w:rPr>
          <w:sz w:val="20"/>
          <w:szCs w:val="20"/>
        </w:rPr>
        <w:instrText>4 Engage in discussion about the various spinal diseases so that we can identify where the variations are and why different surgeons choose different treatments for the same spine pathology.</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D46C0D" w:rsidP="0042796F">
      <w:pPr>
        <w:spacing w:after="0" w:line="240" w:lineRule="auto"/>
        <w:contextualSpacing/>
        <w:rPr>
          <w:noProof/>
          <w:sz w:val="20"/>
          <w:szCs w:val="20"/>
        </w:rPr>
      </w:pPr>
      <w:r>
        <w:rPr>
          <w:sz w:val="24"/>
          <w:szCs w:val="24"/>
        </w:rPr>
        <w:instrText>1 Improve clinical knowledge of spinal pathology.</w:instrText>
      </w:r>
    </w:p>
    <w:p w:rsidP="0042796F">
      <w:pPr>
        <w:spacing w:after="0" w:line="240" w:lineRule="auto"/>
        <w:contextualSpacing/>
        <w:rPr>
          <w:sz w:val="24"/>
          <w:szCs w:val="24"/>
        </w:rPr>
      </w:pPr>
      <w:r>
        <w:rPr>
          <w:sz w:val="24"/>
          <w:szCs w:val="24"/>
        </w:rPr>
        <w:instrText>2 Identify various spinal disease and variations in treatment of spinal diseases.</w:instrText>
      </w:r>
    </w:p>
    <w:p w:rsidP="0042796F">
      <w:pPr>
        <w:spacing w:after="0" w:line="240" w:lineRule="auto"/>
        <w:contextualSpacing/>
        <w:rPr>
          <w:sz w:val="24"/>
          <w:szCs w:val="24"/>
        </w:rPr>
      </w:pPr>
      <w:r>
        <w:rPr>
          <w:sz w:val="24"/>
          <w:szCs w:val="24"/>
        </w:rPr>
        <w:instrText>3 Improve collaborative effort with other spine surgeons and related healthcare providers.</w:instrText>
      </w:r>
    </w:p>
    <w:p w:rsidP="0042796F">
      <w:pPr>
        <w:spacing w:after="0" w:line="240" w:lineRule="auto"/>
        <w:contextualSpacing/>
        <w:rPr>
          <w:sz w:val="24"/>
          <w:szCs w:val="24"/>
        </w:rPr>
      </w:pPr>
      <w:r>
        <w:rPr>
          <w:sz w:val="24"/>
          <w:szCs w:val="24"/>
        </w:rPr>
        <w:instrText>4 Engage in discussion about the various spinal diseases so that we can identify where the variations are and why different surgeons choose different treatments for the same spine pathology.</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D46C0D" w:rsidP="0042796F">
      <w:pPr>
        <w:spacing w:after="0" w:line="240" w:lineRule="auto"/>
        <w:contextualSpacing/>
        <w:rPr>
          <w:noProof/>
          <w:sz w:val="20"/>
          <w:szCs w:val="20"/>
        </w:rPr>
      </w:pPr>
      <w:r>
        <w:rPr>
          <w:sz w:val="24"/>
          <w:szCs w:val="24"/>
        </w:rPr>
        <w:t>1 Improve clinical knowledge of spinal pathology.</w:t>
      </w:r>
    </w:p>
    <w:p w:rsidP="0042796F">
      <w:pPr>
        <w:spacing w:after="0" w:line="240" w:lineRule="auto"/>
        <w:contextualSpacing/>
        <w:rPr>
          <w:sz w:val="24"/>
          <w:szCs w:val="24"/>
        </w:rPr>
      </w:pPr>
      <w:r>
        <w:rPr>
          <w:sz w:val="24"/>
          <w:szCs w:val="24"/>
        </w:rPr>
        <w:t>2 Identify various spinal disease and variations in treatment of spinal diseases.</w:t>
      </w:r>
    </w:p>
    <w:p w:rsidP="0042796F">
      <w:pPr>
        <w:spacing w:after="0" w:line="240" w:lineRule="auto"/>
        <w:contextualSpacing/>
        <w:rPr>
          <w:sz w:val="24"/>
          <w:szCs w:val="24"/>
        </w:rPr>
      </w:pPr>
      <w:r>
        <w:rPr>
          <w:sz w:val="24"/>
          <w:szCs w:val="24"/>
        </w:rPr>
        <w:t>3 Improve collaborative effort with other spine surgeons and related healthcare providers.</w:t>
      </w:r>
    </w:p>
    <w:p w:rsidR="00467105" w:rsidP="0042796F">
      <w:pPr>
        <w:spacing w:after="0" w:line="240" w:lineRule="auto"/>
        <w:contextualSpacing/>
        <w:rPr>
          <w:sz w:val="20"/>
          <w:szCs w:val="20"/>
        </w:rPr>
      </w:pPr>
      <w:r>
        <w:rPr>
          <w:sz w:val="24"/>
          <w:szCs w:val="24"/>
        </w:rPr>
        <w:t>4 Engage in discussion about the various spinal diseases so that we can identify where the variations are and why different surgeons choose different treatments for the same spine pathology.</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sidRPr="00D46C0D" w:rsidR="00D46C0D">
        <w:rPr>
          <w:rFonts w:ascii="Aleo Light" w:hAnsi="Aleo Light"/>
          <w:color w:val="000000"/>
          <w:shd w:val="clear" w:color="auto" w:fill="FFFFFF"/>
        </w:rPr>
        <w:instrText xml:space="preserve"> </w:instrText>
      </w:r>
      <w:r w:rsidRPr="00D46C0D" w:rsid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sidR="002B69BD">
        <w:rPr>
          <w:sz w:val="24"/>
          <w:szCs w:val="24"/>
        </w:rPr>
        <w:fldChar w:fldCharType="begin"/>
      </w:r>
      <w:r w:rsidR="002B69BD">
        <w:rPr>
          <w:sz w:val="24"/>
          <w:szCs w:val="24"/>
        </w:rPr>
        <w:instrText xml:space="preserve"> MERGEFIELD JointProviderName \* MERGEFORMAT </w:instrText>
      </w:r>
      <w:r w:rsidR="002B69BD">
        <w:rPr>
          <w:sz w:val="24"/>
          <w:szCs w:val="24"/>
        </w:rPr>
        <w:fldChar w:fldCharType="separate"/>
      </w:r>
      <w:r w:rsidR="002B69BD">
        <w:rPr>
          <w:noProof/>
          <w:sz w:val="24"/>
          <w:szCs w:val="24"/>
        </w:rPr>
        <w:instrText>«JointProviderName»</w:instrText>
      </w:r>
      <w:r w:rsidR="002B69BD">
        <w:rPr>
          <w:sz w:val="24"/>
          <w:szCs w:val="24"/>
        </w:rPr>
        <w:fldChar w:fldCharType="end"/>
      </w:r>
      <w:r w:rsidRPr="00D46C0D" w:rsid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Live Activity</w:instrText>
      </w:r>
      <w:r>
        <w:rPr>
          <w:sz w:val="24"/>
          <w:szCs w:val="24"/>
        </w:rPr>
        <w:instrText>"</w:instrText>
      </w:r>
      <w:r>
        <w:rPr>
          <w:sz w:val="24"/>
          <w:szCs w:val="24"/>
        </w:rPr>
        <w:instrText xml:space="preserve"> &lt;&gt; "" "</w:instrText>
      </w:r>
      <w:r>
        <w:rPr>
          <w:sz w:val="24"/>
          <w:szCs w:val="24"/>
        </w:rPr>
        <w:instrText>Live Activity</w:instrText>
      </w:r>
      <w:r>
        <w:rPr>
          <w:sz w:val="24"/>
          <w:szCs w:val="24"/>
        </w:rPr>
        <w:instrText xml:space="preserve">"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8.00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B74E46" w:rsidRPr="00830DFB" w:rsidP="00B74E46">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Pr="00B74E46">
        <w:rPr>
          <w:sz w:val="20"/>
          <w:szCs w:val="20"/>
        </w:rPr>
        <w:t xml:space="preserve"> </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2084115252" name="Picture 2084115252"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Pr="00830DFB">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CME </w:instrText>
      </w:r>
      <w:r>
        <w:rPr>
          <w:sz w:val="24"/>
          <w:szCs w:val="24"/>
        </w:rPr>
        <w:instrText xml:space="preserve">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0</wp:posOffset>
            </wp:positionH>
            <wp:positionV relativeFrom="paragraph">
              <wp:posOffset>39370</wp:posOffset>
            </wp:positionV>
            <wp:extent cx="1522095" cy="492760"/>
            <wp:effectExtent l="0" t="0" r="1905" b="2540"/>
            <wp:wrapSquare wrapText="bothSides"/>
            <wp:docPr id="128631735" name="Picture 12863173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1735" name="Picture 128631735" descr="A close-up of a sign&#10;&#10;AI-generated content may be incorrect."/>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22095" cy="492760"/>
                    </a:xfrm>
                    <a:prstGeom prst="rect">
                      <a:avLst/>
                    </a:prstGeom>
                  </pic:spPr>
                </pic:pic>
              </a:graphicData>
            </a:graphic>
          </wp:anchor>
        </w:drawing>
      </w:r>
      <w:r w:rsidRPr="002844AD">
        <w:rPr>
          <w:noProof/>
          <w:sz w:val="24"/>
          <w:szCs w:val="24"/>
        </w:rPr>
        <w:instrText>Successful completion of this CME activity</w:instrText>
      </w:r>
      <w:r w:rsidRPr="00830DFB">
        <w:rPr>
          <w:sz w:val="24"/>
          <w:szCs w:val="24"/>
        </w:rPr>
        <w:instrText xml:space="preserve">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w:instrText>
      </w:r>
      <w:r>
        <w:rPr>
          <w:sz w:val="24"/>
          <w:szCs w:val="24"/>
        </w:rPr>
        <w:instrText>BSCCSAM</w:instrText>
      </w:r>
      <w:r w:rsidRPr="00830DFB">
        <w:rPr>
          <w:sz w:val="24"/>
          <w:szCs w:val="24"/>
        </w:rPr>
        <w:instrText xml:space="preserve">Max </w:instrText>
      </w:r>
      <w:r w:rsidRPr="00830DFB">
        <w:rPr>
          <w:sz w:val="24"/>
          <w:szCs w:val="24"/>
        </w:rPr>
        <w:fldChar w:fldCharType="separate"/>
      </w:r>
      <w:r w:rsidRPr="00830DFB">
        <w:rPr>
          <w:sz w:val="24"/>
          <w:szCs w:val="24"/>
        </w:rPr>
        <w:fldChar w:fldCharType="end"/>
      </w:r>
      <w:r w:rsidRPr="00830DFB">
        <w:rPr>
          <w:sz w:val="24"/>
          <w:szCs w:val="24"/>
        </w:rPr>
        <w:instrText xml:space="preserve"> &gt; 0 "</w:instrText>
      </w:r>
      <w:r w:rsidRPr="002844AD">
        <w:rPr>
          <w:sz w:val="24"/>
          <w:szCs w:val="24"/>
        </w:rPr>
        <w:instrText>, which includes participation in the evaluation component, enables the learner to earn credit toward the CME and Self-Assessment</w:instrText>
      </w:r>
      <w:r w:rsidRPr="00830DFB">
        <w:rPr>
          <w:sz w:val="24"/>
          <w:szCs w:val="24"/>
        </w:rPr>
        <w:instrText>" "</w:instrText>
      </w:r>
      <w:r>
        <w:rPr>
          <w:sz w:val="24"/>
          <w:szCs w:val="24"/>
        </w:rPr>
        <w:instrText>,</w:instrText>
      </w:r>
      <w:r w:rsidRPr="002844AD">
        <w:rPr>
          <w:sz w:val="24"/>
          <w:szCs w:val="24"/>
        </w:rPr>
        <w:instrText>enables the learner to earn credit toward the CME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w:instrText>
      </w:r>
      <w:r w:rsidRPr="002844AD">
        <w:rPr>
          <w:sz w:val="24"/>
          <w:szCs w:val="24"/>
        </w:rPr>
        <w:instrText>requirement(s) of the American Board of Surgery’s Continuous Certification program. It is the CME activity provider's responsibility to submit learner completion information to ACCME for the purpose of granting ABS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ABIM2HoursMax </w:instrText>
      </w:r>
      <w:r>
        <w:rPr>
          <w:sz w:val="24"/>
          <w:szCs w:val="24"/>
        </w:rPr>
        <w:fldChar w:fldCharType="separate"/>
      </w:r>
      <w:r>
        <w:rPr>
          <w:sz w:val="24"/>
          <w:szCs w:val="24"/>
        </w:rPr>
        <w:fldChar w:fldCharType="end"/>
      </w:r>
      <w:r>
        <w:rPr>
          <w:sz w:val="24"/>
          <w:szCs w:val="24"/>
        </w:rPr>
        <w:instrText xml:space="preserve"> &gt; 0 "</w:instrText>
      </w:r>
      <w:r>
        <w:rPr>
          <w:sz w:val="24"/>
          <w:szCs w:val="24"/>
        </w:rPr>
        <w:fldChar w:fldCharType="begin"/>
      </w:r>
      <w:r>
        <w:rPr>
          <w:sz w:val="24"/>
          <w:szCs w:val="24"/>
        </w:rPr>
        <w:instrText xml:space="preserve"> MERGEFIELD ABIM2HoursMax \# 0.00# </w:instrText>
      </w:r>
      <w:r>
        <w:rPr>
          <w:sz w:val="24"/>
          <w:szCs w:val="24"/>
        </w:rPr>
        <w:fldChar w:fldCharType="separate"/>
      </w:r>
      <w:r>
        <w:rPr>
          <w:sz w:val="24"/>
          <w:szCs w:val="24"/>
        </w:rPr>
        <w:fldChar w:fldCharType="end"/>
      </w:r>
      <w:r>
        <w:rPr>
          <w:sz w:val="24"/>
          <w:szCs w:val="24"/>
        </w:rPr>
        <w:instrText>"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ABIMPSHoursMax </w:instrText>
      </w:r>
      <w:r>
        <w:rPr>
          <w:sz w:val="24"/>
          <w:szCs w:val="24"/>
        </w:rPr>
        <w:fldChar w:fldCharType="separate"/>
      </w:r>
      <w:r>
        <w:rPr>
          <w:sz w:val="24"/>
          <w:szCs w:val="24"/>
        </w:rPr>
        <w:fldChar w:fldCharType="end"/>
      </w:r>
      <w:r>
        <w:rPr>
          <w:sz w:val="24"/>
          <w:szCs w:val="24"/>
        </w:rPr>
        <w:instrText xml:space="preserve">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sidRPr="00E010EA">
        <w:rPr>
          <w:sz w:val="24"/>
          <w:szCs w:val="24"/>
        </w:rPr>
        <w:instrText xml:space="preserve">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7"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8">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B74E46" w:rsidP="00B74E46">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B74E46" w:rsidRPr="000063DA" w:rsidP="00B74E46">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p>
    <w:p w:rsidR="004F716E" w:rsidP="00B74E46">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Cindy Yang,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Nitin Bhatia,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Beneficiary-Alphatec (Relationship has ended)|Royalties or Patent Beneficiary-Seaspine|Royalties or Patent Beneficiary-Spineart|Royalties or Patent Beneficiary-Aurora Spine|Consulting Fee-Lifespine|Paid consultant-difusion - 03/09/2025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Samuel L Chen, MD, FACS, RPVI</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consultant-Medtronic (Any division) - 06/05/2025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Shalini Shah,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Fee-Allergan|Consulting Fee-SPR Therapeutics|Consulting Fee-GateScience Inc (Relationship has ended)|Consulting Fee-Vertex Pharmaceuticals - 04/24/2025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Sohaib Hashmi,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consultant-Atec|Paid consultant-SI Bone |Paid consultant-LifeSpine|Paid consultant-SeaSpine - 03/11/2025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Hao-Hua Wu,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Yu-Po Lee,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Oh,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etc.-2nd Skull|Consulting Fee-GS Medical|Membership on Advisory Committees or Review Panels, Board Membership, etc.-Intravent Medical - 07/24/2024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Bianca M Gutierrez,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Frank Hsu,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Ownership-AquaTex Medical |Grant or research support-Koh Young|Consulting Fee-Integra LifeSciences Corporation - 05/20/2025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Hansen Bow,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Rodney Mardirosian,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Jaida Robinson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Uzoma Mmeje,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Lee,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Fee-Abbott (Any division)|Consulting Fee-Boston Scientific Corporation|Consulting Fee-Mainstay Medical|Consulting Fee-Biotronik (Relationship has ended)|Consulting Fee-Intracept - 05/20/2025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Gilda Gilak,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Vivas,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Fee-Globus Medical, Inc.|Consulting Fee-ATEC - 05/25/2025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Navid Alem,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 Lynch,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Nicholas Theodore,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Beneficiary-Globus Medical, Inc.|Consulting Fee-Globus Medical, Inc. - 05/19/2025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Anastasia Chumakova,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Boyle Cheng,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support-Cerapedics|Speakers Bureau-Spinal Simplicity - 06/02/2025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 D Wang,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Marin A McDonald ,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Sten Kramer,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Gehret,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- 05/26/2025</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D46C0D">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panose1 w:val="00000400000000000000"/>
    <w:charset w:val="4D"/>
    <w:family w:val="auto"/>
    <w:pitch w:val="variable"/>
    <w:sig w:usb0="00000007"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Millard, Beverly</cp:lastModifiedBy>
  <cp:revision>2</cp:revision>
  <dcterms:created xsi:type="dcterms:W3CDTF">2025-05-02T13:50:00Z</dcterms:created>
  <dcterms:modified xsi:type="dcterms:W3CDTF">2025-05-02T13:50:00Z</dcterms:modified>
</cp:coreProperties>
</file>