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467105" w:rsidP="004F716E">
      <w:pPr>
        <w:spacing w:after="0" w:line="240" w:lineRule="auto"/>
        <w:contextualSpacing/>
        <w:jc w:val="center"/>
        <w:rPr>
          <w:b/>
          <w:bCs/>
          <w:sz w:val="20"/>
          <w:szCs w:val="20"/>
        </w:rPr>
      </w:pPr>
      <w:bookmarkStart w:id="0" w:name="_Hlk135140857"/>
      <w:bookmarkEnd w:id="0"/>
      <w:r w:rsidRPr="00467105">
        <w:rPr>
          <w:b/>
          <w:bCs/>
          <w:sz w:val="20"/>
          <w:szCs w:val="20"/>
        </w:rPr>
        <w:fldChar w:fldCharType="begin"/>
      </w:r>
      <w:r w:rsidRPr="00467105">
        <w:rPr>
          <w:b/>
          <w:bCs/>
          <w:sz w:val="20"/>
          <w:szCs w:val="20"/>
        </w:rPr>
        <w:instrText xml:space="preserve"> IF </w:instrText>
      </w:r>
      <w:r w:rsidRPr="00467105">
        <w:rPr>
          <w:b/>
          <w:bCs/>
          <w:sz w:val="20"/>
          <w:szCs w:val="20"/>
        </w:rPr>
        <w:instrText>"</w:instrText>
      </w:r>
      <w:r w:rsidRPr="00467105">
        <w:rPr>
          <w:b/>
          <w:bCs/>
          <w:sz w:val="20"/>
          <w:szCs w:val="20"/>
        </w:rPr>
        <w:instrText>"</w:instrText>
      </w:r>
      <w:r w:rsidRPr="00467105">
        <w:rPr>
          <w:b/>
          <w:bCs/>
          <w:sz w:val="20"/>
          <w:szCs w:val="20"/>
        </w:rPr>
        <w:instrText xml:space="preserve"> &lt;&gt; "" "</w:instrText>
      </w:r>
      <w:r w:rsidRPr="00467105">
        <w:rPr>
          <w:b/>
          <w:bCs/>
          <w:sz w:val="28"/>
          <w:szCs w:val="28"/>
        </w:rPr>
        <w:fldChar w:fldCharType="begin"/>
      </w:r>
      <w:r w:rsidRPr="00467105">
        <w:rPr>
          <w:b/>
          <w:bCs/>
          <w:sz w:val="28"/>
          <w:szCs w:val="28"/>
        </w:rPr>
        <w:instrText xml:space="preserve"> MERGEFIELD ParentName </w:instrText>
      </w:r>
      <w:r w:rsidRPr="00467105">
        <w:rPr>
          <w:b/>
          <w:bCs/>
          <w:sz w:val="28"/>
          <w:szCs w:val="28"/>
        </w:rPr>
        <w:fldChar w:fldCharType="separate"/>
      </w:r>
      <w:r w:rsidR="00D46C0D">
        <w:rPr>
          <w:b/>
          <w:bCs/>
          <w:noProof/>
          <w:sz w:val="28"/>
          <w:szCs w:val="28"/>
        </w:rPr>
        <w:instrText>«ParentName»</w:instrText>
      </w:r>
      <w:r w:rsidRPr="00467105">
        <w:rPr>
          <w:b/>
          <w:bCs/>
          <w:sz w:val="28"/>
          <w:szCs w:val="28"/>
        </w:rPr>
        <w:fldChar w:fldCharType="end"/>
      </w:r>
    </w:p>
    <w:p w:rsidR="00D46C0D" w:rsidP="004F716E">
      <w:pPr>
        <w:spacing w:after="0" w:line="240" w:lineRule="auto"/>
        <w:contextualSpacing/>
        <w:jc w:val="center"/>
        <w:rPr>
          <w:b/>
          <w:bCs/>
          <w:noProof/>
          <w:sz w:val="20"/>
          <w:szCs w:val="20"/>
        </w:rPr>
      </w:pPr>
      <w:r>
        <w:rPr>
          <w:b/>
          <w:bCs/>
          <w:sz w:val="24"/>
          <w:szCs w:val="24"/>
        </w:rPr>
        <w:fldChar w:fldCharType="begin"/>
      </w:r>
      <w:r>
        <w:rPr>
          <w:b/>
          <w:bCs/>
          <w:sz w:val="24"/>
          <w:szCs w:val="24"/>
        </w:rPr>
        <w:instrText xml:space="preserve"> MERGEFIELD EventName </w:instrText>
      </w:r>
      <w:r>
        <w:rPr>
          <w:b/>
          <w:bCs/>
          <w:sz w:val="24"/>
          <w:szCs w:val="24"/>
        </w:rPr>
        <w:fldChar w:fldCharType="separate"/>
      </w:r>
      <w:r>
        <w:rPr>
          <w:b/>
          <w:bCs/>
          <w:noProof/>
          <w:sz w:val="24"/>
          <w:szCs w:val="24"/>
        </w:rPr>
        <w:instrText>«EventName»</w:instrText>
      </w:r>
      <w:r>
        <w:rPr>
          <w:b/>
          <w:bCs/>
          <w:sz w:val="24"/>
          <w:szCs w:val="24"/>
        </w:rPr>
        <w:fldChar w:fldCharType="end"/>
      </w:r>
      <w:r w:rsidRPr="00467105">
        <w:rPr>
          <w:b/>
          <w:bCs/>
          <w:sz w:val="20"/>
          <w:szCs w:val="20"/>
        </w:rPr>
        <w:instrText>" "</w:instrText>
      </w:r>
      <w:r w:rsidRPr="00467105">
        <w:rPr>
          <w:b/>
          <w:bCs/>
          <w:sz w:val="28"/>
          <w:szCs w:val="28"/>
        </w:rPr>
        <w:instrText>14th Annual UC Irvine Neuromuscular Colloquium</w:instrText>
      </w:r>
      <w:r w:rsidRPr="00467105">
        <w:rPr>
          <w:b/>
          <w:bCs/>
          <w:sz w:val="20"/>
          <w:szCs w:val="20"/>
        </w:rPr>
        <w:instrText>"</w:instrText>
      </w:r>
      <w:r w:rsidRPr="00467105" w:rsidR="004F716E">
        <w:rPr>
          <w:b/>
          <w:bCs/>
          <w:sz w:val="20"/>
          <w:szCs w:val="20"/>
        </w:rPr>
        <w:instrText xml:space="preserve"> </w:instrText>
      </w:r>
      <w:r w:rsidRPr="00467105" w:rsidR="004F716E">
        <w:rPr>
          <w:b/>
          <w:bCs/>
          <w:sz w:val="20"/>
          <w:szCs w:val="20"/>
        </w:rPr>
        <w:fldChar w:fldCharType="separate"/>
      </w:r>
      <w:r w:rsidRPr="00467105">
        <w:rPr>
          <w:b/>
          <w:bCs/>
          <w:sz w:val="28"/>
          <w:szCs w:val="28"/>
        </w:rPr>
        <w:t>14th Annual UC Irvine Neuromuscular Colloquium</w:t>
      </w:r>
      <w:r w:rsidRPr="00467105" w:rsidR="004F716E">
        <w:rPr>
          <w:b/>
          <w:bCs/>
          <w:sz w:val="20"/>
          <w:szCs w:val="20"/>
        </w:rPr>
        <w:fldChar w:fldCharType="end"/>
      </w:r>
    </w:p>
    <w:p w:rsidR="004F716E" w:rsidP="004F716E">
      <w:pPr>
        <w:spacing w:after="0" w:line="240" w:lineRule="auto"/>
        <w:contextualSpacing/>
        <w:rPr>
          <w:sz w:val="20"/>
          <w:szCs w:val="20"/>
        </w:rPr>
      </w:pPr>
    </w:p>
    <w:p w:rsidR="00467105" w:rsidRPr="00F73D88" w:rsidP="00467105">
      <w:pPr>
        <w:spacing w:after="0" w:line="240" w:lineRule="auto"/>
        <w:contextualSpacing/>
        <w:jc w:val="center"/>
        <w:rPr>
          <w:sz w:val="24"/>
          <w:szCs w:val="24"/>
        </w:rPr>
      </w:pPr>
      <w:r>
        <w:rPr>
          <w:sz w:val="24"/>
          <w:szCs w:val="24"/>
        </w:rPr>
        <w:t>May 29, 2026</w:t>
      </w:r>
      <w:r>
        <w:rPr>
          <w:sz w:val="24"/>
          <w:szCs w:val="24"/>
        </w:rPr>
        <w:fldChar w:fldCharType="begin"/>
      </w:r>
      <w:r>
        <w:rPr>
          <w:sz w:val="24"/>
          <w:szCs w:val="24"/>
        </w:rPr>
        <w:instrText xml:space="preserve"> IF </w:instrText>
      </w:r>
      <w:r>
        <w:rPr>
          <w:sz w:val="24"/>
          <w:szCs w:val="24"/>
        </w:rPr>
        <w:instrText>"</w:instrText>
      </w:r>
      <w:r>
        <w:rPr>
          <w:sz w:val="24"/>
          <w:szCs w:val="24"/>
        </w:rPr>
        <w:instrText>5 29 2026</w:instrText>
      </w:r>
      <w:r>
        <w:rPr>
          <w:sz w:val="24"/>
          <w:szCs w:val="24"/>
        </w:rPr>
        <w:instrText>"</w:instrText>
      </w:r>
      <w:r>
        <w:rPr>
          <w:sz w:val="24"/>
          <w:szCs w:val="24"/>
        </w:rPr>
        <w:instrText xml:space="preserve"> &lt;&gt; </w:instrText>
      </w:r>
      <w:r>
        <w:rPr>
          <w:sz w:val="24"/>
          <w:szCs w:val="24"/>
        </w:rPr>
        <w:instrText>"</w:instrText>
      </w:r>
      <w:r>
        <w:rPr>
          <w:sz w:val="24"/>
          <w:szCs w:val="24"/>
        </w:rPr>
        <w:instrText>5 29 2026</w:instrText>
      </w:r>
      <w:r>
        <w:rPr>
          <w:sz w:val="24"/>
          <w:szCs w:val="24"/>
        </w:rPr>
        <w:instrText>"</w:instrText>
      </w:r>
      <w:r>
        <w:rPr>
          <w:sz w:val="24"/>
          <w:szCs w:val="24"/>
        </w:rPr>
        <w:instrText xml:space="preserve"> "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EndTime \@ "MMMM d, yyyy" </w:instrText>
      </w:r>
      <w:r>
        <w:rPr>
          <w:sz w:val="24"/>
          <w:szCs w:val="24"/>
        </w:rPr>
        <w:fldChar w:fldCharType="separate"/>
      </w:r>
      <w:r w:rsidR="00D46C0D">
        <w:rPr>
          <w:noProof/>
          <w:sz w:val="24"/>
          <w:szCs w:val="24"/>
        </w:rPr>
        <w:instrText>«EndTime»</w:instrText>
      </w:r>
      <w:r>
        <w:rPr>
          <w:sz w:val="24"/>
          <w:szCs w:val="24"/>
        </w:rPr>
        <w:fldChar w:fldCharType="end"/>
      </w:r>
      <w:r>
        <w:rPr>
          <w:sz w:val="24"/>
          <w:szCs w:val="24"/>
        </w:rPr>
        <w:instrText xml:space="preserve">" "" </w:instrText>
      </w:r>
      <w:r>
        <w:rPr>
          <w:sz w:val="24"/>
          <w:szCs w:val="24"/>
        </w:rPr>
        <w:fldChar w:fldCharType="separate"/>
      </w:r>
      <w:r>
        <w:rPr>
          <w:sz w:val="24"/>
          <w:szCs w:val="24"/>
        </w:rPr>
        <w:fldChar w:fldCharType="end"/>
      </w:r>
    </w:p>
    <w:p w:rsidR="004E13E4" w:rsidP="004F716E">
      <w:pPr>
        <w:spacing w:after="0" w:line="240" w:lineRule="auto"/>
        <w:contextualSpacing/>
        <w:rPr>
          <w:sz w:val="20"/>
          <w:szCs w:val="20"/>
        </w:rPr>
      </w:pPr>
      <w:r>
        <w:rPr>
          <w:sz w:val="20"/>
          <w:szCs w:val="20"/>
        </w:rPr>
        <w:fldChar w:fldCharType="begin"/>
      </w:r>
      <w:r>
        <w:rPr>
          <w:sz w:val="20"/>
          <w:szCs w:val="20"/>
        </w:rPr>
        <w:instrText xml:space="preserve"> IF "</w:instrText>
      </w:r>
      <w:r>
        <w:rPr>
          <w:rtl w:val="0"/>
        </w:rPr>
        <w:instrText xml:space="preserve">This colloquium is designed to encourage an atmosphere of collaboration and interaction between the various neuromuscular specialists in the US, Canada and internationally. It is a forum to discuss the latest topics and advances in neuromuscular medicine and review interesting and challenging cases, with several live patient presentations. Such activities are aimed to improve patient care by promoting dissemination of new knowledge from experts in the field, enhancing research collaboration and developing new research projects between the various groups and institutions. </w:instrText>
      </w:r>
      <w:r>
        <w:rPr>
          <w:sz w:val="20"/>
          <w:szCs w:val="20"/>
        </w:rPr>
        <w:instrText>" &lt;&gt; "" "</w:instrText>
      </w:r>
    </w:p>
    <w:p w:rsidR="004E13E4" w:rsidP="004F716E">
      <w:pPr>
        <w:spacing w:after="0" w:line="240" w:lineRule="auto"/>
        <w:contextualSpacing/>
        <w:rPr>
          <w:sz w:val="20"/>
          <w:szCs w:val="20"/>
        </w:rPr>
      </w:pPr>
    </w:p>
    <w:p w:rsidR="004E13E4" w:rsidP="004F716E">
      <w:pPr>
        <w:spacing w:after="0" w:line="240" w:lineRule="auto"/>
        <w:contextualSpacing/>
        <w:rPr>
          <w:sz w:val="24"/>
          <w:szCs w:val="24"/>
        </w:rPr>
      </w:pPr>
      <w:r>
        <w:rPr>
          <w:b/>
          <w:bCs/>
          <w:sz w:val="24"/>
          <w:szCs w:val="24"/>
        </w:rPr>
        <w:instrText>Purpose</w:instrText>
      </w:r>
    </w:p>
    <w:p w:rsidR="00D46C0D" w:rsidP="004F716E">
      <w:pPr>
        <w:spacing w:after="0" w:line="240" w:lineRule="auto"/>
        <w:contextualSpacing/>
        <w:rPr>
          <w:noProof/>
          <w:sz w:val="20"/>
          <w:szCs w:val="20"/>
        </w:rPr>
      </w:pPr>
      <w:r>
        <w:rPr>
          <w:rtl w:val="0"/>
        </w:rPr>
        <w:instrText xml:space="preserve">This colloquium is designed to encourage an atmosphere of collaboration and interaction between the various neuromuscular specialists in the US, Canada and internationally. It is a forum to discuss the latest topics and advances in neuromuscular medicine and review interesting and challenging cases, with several live patient presentations. Such activities are aimed to improve patient care by promoting dissemination of new knowledge from experts in the field, enhancing research collaboration and developing new research projects between the various groups and institutions. </w:instrText>
      </w:r>
      <w:r>
        <w:rPr>
          <w:sz w:val="20"/>
          <w:szCs w:val="20"/>
        </w:rPr>
        <w:instrText xml:space="preserve">" "" </w:instrText>
      </w:r>
      <w:r>
        <w:rPr>
          <w:sz w:val="20"/>
          <w:szCs w:val="20"/>
        </w:rPr>
        <w:fldChar w:fldCharType="separate"/>
      </w:r>
    </w:p>
    <w:p w:rsidR="004E13E4" w:rsidP="004F716E">
      <w:pPr>
        <w:spacing w:after="0" w:line="240" w:lineRule="auto"/>
        <w:contextualSpacing/>
        <w:rPr>
          <w:sz w:val="20"/>
          <w:szCs w:val="20"/>
        </w:rPr>
      </w:pPr>
    </w:p>
    <w:p w:rsidR="004E13E4" w:rsidP="004F716E">
      <w:pPr>
        <w:spacing w:after="0" w:line="240" w:lineRule="auto"/>
        <w:contextualSpacing/>
        <w:rPr>
          <w:sz w:val="24"/>
          <w:szCs w:val="24"/>
        </w:rPr>
      </w:pPr>
      <w:r>
        <w:rPr>
          <w:b/>
          <w:bCs/>
          <w:sz w:val="24"/>
          <w:szCs w:val="24"/>
        </w:rPr>
        <w:t>Purpose</w:t>
      </w:r>
    </w:p>
    <w:p w:rsidR="004E13E4" w:rsidP="004F716E">
      <w:pPr>
        <w:spacing w:after="0" w:line="240" w:lineRule="auto"/>
        <w:contextualSpacing/>
        <w:rPr>
          <w:sz w:val="20"/>
          <w:szCs w:val="20"/>
        </w:rPr>
      </w:pPr>
      <w:r>
        <w:rPr>
          <w:rtl w:val="0"/>
        </w:rPr>
        <w:t xml:space="preserve">This colloquium is designed to encourage an atmosphere of collaboration and interaction between the various neuromuscular specialists in the US, Canada and internationally. It is a forum to discuss the latest topics and advances in neuromuscular medicine and review interesting and challenging cases, with several live patient presentations. Such activities are aimed to improve patient care by promoting dissemination of new knowledge from experts in the field, enhancing research collaboration and developing new research projects between the various groups and institutions. </w:t>
      </w:r>
      <w:r>
        <w:rPr>
          <w:sz w:val="20"/>
          <w:szCs w:val="20"/>
        </w:rPr>
        <w:fldChar w:fldCharType="end"/>
      </w:r>
      <w:r w:rsidRPr="0042796F" w:rsidR="0042796F">
        <w:rPr>
          <w:rFonts w:cstheme="minorHAnsi"/>
          <w:sz w:val="20"/>
          <w:szCs w:val="20"/>
        </w:rPr>
        <w:fldChar w:fldCharType="begin"/>
      </w:r>
      <w:r w:rsidRPr="0042796F" w:rsidR="0042796F">
        <w:rPr>
          <w:rFonts w:cstheme="minorHAnsi"/>
          <w:sz w:val="20"/>
          <w:szCs w:val="20"/>
        </w:rPr>
        <w:instrText xml:space="preserve"> IF </w:instrText>
      </w:r>
      <w:r w:rsidRPr="0042796F" w:rsidR="0042796F">
        <w:rPr>
          <w:rFonts w:cstheme="minorHAnsi"/>
          <w:sz w:val="20"/>
          <w:szCs w:val="20"/>
        </w:rPr>
        <w:fldChar w:fldCharType="begin"/>
      </w:r>
      <w:r w:rsidRPr="0042796F" w:rsidR="0042796F">
        <w:rPr>
          <w:rFonts w:cstheme="minorHAnsi"/>
          <w:sz w:val="20"/>
          <w:szCs w:val="20"/>
        </w:rPr>
        <w:instrText xml:space="preserve"> = </w:instrText>
      </w:r>
      <w:r w:rsidRPr="0042796F" w:rsidR="0042796F">
        <w:rPr>
          <w:rFonts w:cstheme="minorHAnsi"/>
          <w:sz w:val="20"/>
          <w:szCs w:val="20"/>
        </w:rPr>
        <w:fldChar w:fldCharType="begin"/>
      </w:r>
      <w:r w:rsidRPr="0042796F" w:rsidR="0042796F">
        <w:rPr>
          <w:rFonts w:cstheme="minorHAnsi"/>
          <w:sz w:val="20"/>
          <w:szCs w:val="20"/>
        </w:rPr>
        <w:instrText xml:space="preserve"> IF </w:instrText>
      </w:r>
      <w:r w:rsidRPr="0042796F" w:rsidR="0042796F">
        <w:rPr>
          <w:rFonts w:cstheme="minorHAnsi"/>
          <w:sz w:val="20"/>
          <w:szCs w:val="20"/>
        </w:rPr>
        <w:instrText>"</w:instrText>
      </w:r>
      <w:r w:rsidRPr="0042796F" w:rsidR="0042796F">
        <w:rPr>
          <w:rFonts w:cstheme="minorHAnsi"/>
          <w:sz w:val="20"/>
          <w:szCs w:val="20"/>
        </w:rPr>
        <w:instrText>Neurology, Pathology &amp; Laboratory Medicine, Pediatrics, Genetic And Genomic Medicine, Neurology</w:instrText>
      </w:r>
      <w:r w:rsidRPr="0042796F" w:rsidR="0042796F">
        <w:rPr>
          <w:rFonts w:cstheme="minorHAnsi"/>
          <w:sz w:val="20"/>
          <w:szCs w:val="20"/>
        </w:rPr>
        <w:instrText>"</w:instrText>
      </w:r>
      <w:r w:rsidRPr="0042796F" w:rsidR="0042796F">
        <w:rPr>
          <w:rFonts w:cstheme="minorHAnsi"/>
          <w:sz w:val="20"/>
          <w:szCs w:val="20"/>
        </w:rPr>
        <w:instrText xml:space="preserve"> &lt;&gt; "" 1 0 </w:instrText>
      </w:r>
      <w:r w:rsidRPr="0042796F" w:rsidR="0042796F">
        <w:rPr>
          <w:rFonts w:cstheme="minorHAnsi"/>
          <w:sz w:val="20"/>
          <w:szCs w:val="20"/>
        </w:rPr>
        <w:fldChar w:fldCharType="separate"/>
      </w:r>
      <w:r w:rsidRPr="0042796F" w:rsidR="0042796F">
        <w:rPr>
          <w:rFonts w:cstheme="minorHAnsi"/>
          <w:sz w:val="20"/>
          <w:szCs w:val="20"/>
        </w:rPr>
        <w:instrText>1</w:instrText>
      </w:r>
      <w:r w:rsidRPr="0042796F" w:rsidR="0042796F">
        <w:rPr>
          <w:rFonts w:cstheme="minorHAnsi"/>
          <w:sz w:val="20"/>
          <w:szCs w:val="20"/>
        </w:rPr>
        <w:fldChar w:fldCharType="end"/>
      </w:r>
      <w:r w:rsidRPr="0042796F" w:rsidR="0042796F">
        <w:rPr>
          <w:rFonts w:cstheme="minorHAnsi"/>
          <w:sz w:val="20"/>
          <w:szCs w:val="20"/>
        </w:rPr>
        <w:instrText xml:space="preserve"> + </w:instrText>
      </w:r>
      <w:r w:rsidRPr="0042796F" w:rsidR="0042796F">
        <w:rPr>
          <w:rFonts w:cstheme="minorHAnsi"/>
          <w:sz w:val="20"/>
          <w:szCs w:val="20"/>
        </w:rPr>
        <w:fldChar w:fldCharType="begin"/>
      </w:r>
      <w:r w:rsidRPr="0042796F" w:rsidR="0042796F">
        <w:rPr>
          <w:rFonts w:cstheme="minorHAnsi"/>
          <w:sz w:val="20"/>
          <w:szCs w:val="20"/>
        </w:rPr>
        <w:instrText xml:space="preserve"> IF </w:instrText>
      </w:r>
      <w:r w:rsidRPr="0042796F" w:rsidR="0042796F">
        <w:rPr>
          <w:rFonts w:cstheme="minorHAnsi"/>
          <w:sz w:val="20"/>
          <w:szCs w:val="20"/>
        </w:rPr>
        <w:instrText>"</w:instrText>
      </w:r>
      <w:r w:rsidRPr="0042796F" w:rsidR="0042796F">
        <w:rPr>
          <w:rFonts w:cstheme="minorHAnsi"/>
          <w:sz w:val="20"/>
          <w:szCs w:val="20"/>
        </w:rPr>
        <w:instrText>Physician, Non-Physician, Allied Health Professional, Audiologist, Medical Assistant, Medical Student, Nurse, Nurse Practitioner, Pharmacist, Physical Therapist, Physician Assistant, Registered Dietitian, Resident Physician, Clinical Social Worker, Speech-Language Pathologist, Psychologist</w:instrText>
      </w:r>
      <w:r w:rsidRPr="0042796F" w:rsidR="0042796F">
        <w:rPr>
          <w:rFonts w:cstheme="minorHAnsi"/>
          <w:sz w:val="20"/>
          <w:szCs w:val="20"/>
        </w:rPr>
        <w:instrText>"</w:instrText>
      </w:r>
      <w:r w:rsidRPr="0042796F" w:rsidR="0042796F">
        <w:rPr>
          <w:rFonts w:cstheme="minorHAnsi"/>
          <w:sz w:val="20"/>
          <w:szCs w:val="20"/>
        </w:rPr>
        <w:instrText xml:space="preserve"> &lt;&gt; "" 1 0 </w:instrText>
      </w:r>
      <w:r w:rsidRPr="0042796F" w:rsidR="0042796F">
        <w:rPr>
          <w:rFonts w:cstheme="minorHAnsi"/>
          <w:sz w:val="20"/>
          <w:szCs w:val="20"/>
        </w:rPr>
        <w:fldChar w:fldCharType="separate"/>
      </w:r>
      <w:r w:rsidRPr="0042796F" w:rsidR="0042796F">
        <w:rPr>
          <w:rFonts w:cstheme="minorHAnsi"/>
          <w:sz w:val="20"/>
          <w:szCs w:val="20"/>
        </w:rPr>
        <w:instrText>1</w:instrText>
      </w:r>
      <w:r w:rsidRPr="0042796F" w:rsidR="0042796F">
        <w:rPr>
          <w:rFonts w:cstheme="minorHAnsi"/>
          <w:sz w:val="20"/>
          <w:szCs w:val="20"/>
        </w:rPr>
        <w:fldChar w:fldCharType="end"/>
      </w:r>
      <w:r w:rsidRPr="0042796F" w:rsidR="0042796F">
        <w:rPr>
          <w:rFonts w:cstheme="minorHAnsi"/>
          <w:sz w:val="20"/>
          <w:szCs w:val="20"/>
        </w:rPr>
        <w:instrText xml:space="preserve"> </w:instrText>
      </w:r>
      <w:r w:rsidRPr="0042796F" w:rsidR="0042796F">
        <w:rPr>
          <w:rFonts w:cstheme="minorHAnsi"/>
          <w:sz w:val="20"/>
          <w:szCs w:val="20"/>
        </w:rPr>
        <w:fldChar w:fldCharType="separate"/>
      </w:r>
      <w:r w:rsidRPr="0042796F" w:rsidR="0042796F">
        <w:rPr>
          <w:rFonts w:cstheme="minorHAnsi"/>
          <w:sz w:val="20"/>
          <w:szCs w:val="20"/>
        </w:rPr>
        <w:instrText>2</w:instrText>
      </w:r>
      <w:r w:rsidRPr="0042796F" w:rsidR="0042796F">
        <w:rPr>
          <w:rFonts w:cstheme="minorHAnsi"/>
          <w:sz w:val="20"/>
          <w:szCs w:val="20"/>
        </w:rPr>
        <w:fldChar w:fldCharType="end"/>
      </w:r>
      <w:r w:rsidRPr="0042796F" w:rsidR="0042796F">
        <w:rPr>
          <w:rFonts w:cstheme="minorHAnsi"/>
          <w:sz w:val="20"/>
          <w:szCs w:val="20"/>
        </w:rPr>
        <w:instrText xml:space="preserve"> &gt; 0 "</w:instrText>
      </w:r>
    </w:p>
    <w:p w:rsidR="0042796F" w:rsidRPr="0042796F" w:rsidP="0042796F">
      <w:pPr>
        <w:spacing w:after="0" w:line="240" w:lineRule="auto"/>
        <w:contextualSpacing/>
        <w:rPr>
          <w:rFonts w:cstheme="minorHAnsi"/>
          <w:sz w:val="20"/>
          <w:szCs w:val="20"/>
        </w:rPr>
      </w:pPr>
    </w:p>
    <w:p w:rsidR="0042796F" w:rsidRPr="0042796F" w:rsidP="0042796F">
      <w:pPr>
        <w:spacing w:after="0" w:line="240" w:lineRule="auto"/>
        <w:contextualSpacing/>
        <w:rPr>
          <w:rFonts w:cstheme="minorHAnsi"/>
          <w:sz w:val="24"/>
          <w:szCs w:val="24"/>
        </w:rPr>
      </w:pPr>
      <w:r w:rsidRPr="0042796F">
        <w:rPr>
          <w:rFonts w:cstheme="minorHAnsi"/>
          <w:b/>
          <w:bCs/>
          <w:sz w:val="24"/>
          <w:szCs w:val="24"/>
        </w:rPr>
        <w:instrText>Target Audience</w:instrText>
      </w:r>
      <w:r w:rsidRPr="0042796F">
        <w:rPr>
          <w:rFonts w:cstheme="minorHAnsi"/>
          <w:sz w:val="24"/>
          <w:szCs w:val="24"/>
        </w:rPr>
        <w:fldChar w:fldCharType="begin"/>
      </w:r>
      <w:r w:rsidRPr="0042796F">
        <w:rPr>
          <w:rFonts w:cstheme="minorHAnsi"/>
          <w:sz w:val="24"/>
          <w:szCs w:val="24"/>
        </w:rPr>
        <w:instrText xml:space="preserve"> IF </w:instrText>
      </w:r>
      <w:r w:rsidRPr="0042796F">
        <w:rPr>
          <w:rFonts w:cstheme="minorHAnsi"/>
          <w:sz w:val="24"/>
          <w:szCs w:val="24"/>
        </w:rPr>
        <w:instrText>"</w:instrText>
      </w:r>
      <w:r w:rsidRPr="0042796F">
        <w:rPr>
          <w:rFonts w:cstheme="minorHAnsi"/>
          <w:sz w:val="24"/>
          <w:szCs w:val="24"/>
        </w:rPr>
        <w:instrText>Neurology, Pathology &amp; Laboratory Medicine, Pediatrics, Genetic And Genomic Medicine, Neurology</w:instrText>
      </w:r>
      <w:r w:rsidRPr="0042796F">
        <w:rPr>
          <w:rFonts w:cstheme="minorHAnsi"/>
          <w:sz w:val="24"/>
          <w:szCs w:val="24"/>
        </w:rPr>
        <w:instrText>"</w:instrText>
      </w:r>
      <w:r w:rsidRPr="0042796F">
        <w:rPr>
          <w:rFonts w:cstheme="minorHAnsi"/>
          <w:sz w:val="24"/>
          <w:szCs w:val="24"/>
        </w:rPr>
        <w:instrText xml:space="preserve"> &lt;&gt; "" "</w:instrText>
      </w:r>
    </w:p>
    <w:p w:rsidR="00D46C0D" w:rsidRPr="0042796F" w:rsidP="0042796F">
      <w:pPr>
        <w:spacing w:after="0" w:line="240" w:lineRule="auto"/>
        <w:contextualSpacing/>
        <w:rPr>
          <w:rFonts w:cstheme="minorHAnsi"/>
          <w:noProof/>
          <w:sz w:val="24"/>
          <w:szCs w:val="24"/>
        </w:rPr>
      </w:pPr>
      <w:r w:rsidRPr="0042796F">
        <w:rPr>
          <w:rFonts w:cstheme="minorHAnsi"/>
          <w:sz w:val="24"/>
          <w:szCs w:val="24"/>
        </w:rPr>
        <w:instrText xml:space="preserve">Specialties – </w:instrText>
      </w:r>
      <w:r w:rsidRPr="0042796F">
        <w:rPr>
          <w:rFonts w:cstheme="minorHAnsi"/>
          <w:sz w:val="24"/>
          <w:szCs w:val="24"/>
        </w:rPr>
        <w:instrText>Neurology, Pathology &amp; Laboratory Medicine, Pediatrics, Genetic And Genomic Medicine, Neurology</w:instrText>
      </w:r>
      <w:r w:rsidRPr="0042796F">
        <w:rPr>
          <w:rFonts w:cstheme="minorHAnsi"/>
          <w:sz w:val="24"/>
          <w:szCs w:val="24"/>
        </w:rPr>
        <w:instrText xml:space="preserve">" "" </w:instrText>
      </w:r>
      <w:r w:rsidRPr="0042796F">
        <w:rPr>
          <w:rFonts w:cstheme="minorHAnsi"/>
          <w:sz w:val="24"/>
          <w:szCs w:val="24"/>
        </w:rPr>
        <w:fldChar w:fldCharType="separate"/>
      </w:r>
    </w:p>
    <w:p w:rsidR="0042796F" w:rsidRPr="0042796F" w:rsidP="0042796F">
      <w:pPr>
        <w:spacing w:after="0" w:line="240" w:lineRule="auto"/>
        <w:contextualSpacing/>
        <w:rPr>
          <w:rFonts w:cstheme="minorHAnsi"/>
          <w:sz w:val="24"/>
          <w:szCs w:val="24"/>
        </w:rPr>
      </w:pPr>
      <w:r w:rsidRPr="0042796F">
        <w:rPr>
          <w:rFonts w:cstheme="minorHAnsi"/>
          <w:sz w:val="24"/>
          <w:szCs w:val="24"/>
        </w:rPr>
        <w:instrText xml:space="preserve">Specialties – </w:instrText>
      </w:r>
      <w:r w:rsidRPr="0042796F">
        <w:rPr>
          <w:rFonts w:cstheme="minorHAnsi"/>
          <w:sz w:val="24"/>
          <w:szCs w:val="24"/>
        </w:rPr>
        <w:instrText>Neurology, Pathology &amp; Laboratory Medicine, Pediatrics, Genetic And Genomic Medicine, Neurology</w:instrText>
      </w:r>
      <w:r w:rsidRPr="0042796F">
        <w:rPr>
          <w:rFonts w:cstheme="minorHAnsi"/>
          <w:sz w:val="24"/>
          <w:szCs w:val="24"/>
        </w:rPr>
        <w:fldChar w:fldCharType="end"/>
      </w:r>
      <w:r w:rsidRPr="0042796F">
        <w:rPr>
          <w:rFonts w:cstheme="minorHAnsi"/>
          <w:sz w:val="24"/>
          <w:szCs w:val="24"/>
        </w:rPr>
        <w:fldChar w:fldCharType="begin"/>
      </w:r>
      <w:r w:rsidRPr="0042796F">
        <w:rPr>
          <w:rFonts w:cstheme="minorHAnsi"/>
          <w:sz w:val="24"/>
          <w:szCs w:val="24"/>
        </w:rPr>
        <w:instrText xml:space="preserve"> IF </w:instrText>
      </w:r>
      <w:r w:rsidRPr="0042796F">
        <w:rPr>
          <w:rFonts w:cstheme="minorHAnsi"/>
          <w:sz w:val="24"/>
          <w:szCs w:val="24"/>
        </w:rPr>
        <w:instrText>"</w:instrText>
      </w:r>
      <w:r w:rsidRPr="0042796F">
        <w:rPr>
          <w:rFonts w:cstheme="minorHAnsi"/>
          <w:sz w:val="24"/>
          <w:szCs w:val="24"/>
        </w:rPr>
        <w:instrText>Physician, Non-Physician, Allied Health Professional, Audiologist, Medical Assistant, Medical Student, Nurse, Nurse Practitioner, Pharmacist, Physical Therapist, Physician Assistant, Registered Dietitian, Resident Physician, Clinical Social Worker, Speech-Language Pathologist, Psychologist</w:instrText>
      </w:r>
      <w:r w:rsidRPr="0042796F">
        <w:rPr>
          <w:rFonts w:cstheme="minorHAnsi"/>
          <w:sz w:val="24"/>
          <w:szCs w:val="24"/>
        </w:rPr>
        <w:instrText>"</w:instrText>
      </w:r>
      <w:r w:rsidRPr="0042796F">
        <w:rPr>
          <w:rFonts w:cstheme="minorHAnsi"/>
          <w:sz w:val="24"/>
          <w:szCs w:val="24"/>
        </w:rPr>
        <w:instrText xml:space="preserve"> &lt;&gt; "" "</w:instrText>
      </w:r>
    </w:p>
    <w:p w:rsidR="00D46C0D" w:rsidRPr="0042796F" w:rsidP="0042796F">
      <w:pPr>
        <w:spacing w:after="0" w:line="240" w:lineRule="auto"/>
        <w:contextualSpacing/>
        <w:rPr>
          <w:rFonts w:cstheme="minorHAnsi"/>
          <w:noProof/>
          <w:sz w:val="24"/>
          <w:szCs w:val="24"/>
        </w:rPr>
      </w:pPr>
      <w:r w:rsidRPr="0042796F">
        <w:rPr>
          <w:rFonts w:cstheme="minorHAnsi"/>
          <w:sz w:val="24"/>
          <w:szCs w:val="24"/>
        </w:rPr>
        <w:instrText xml:space="preserve">Professions – </w:instrText>
      </w:r>
      <w:r w:rsidRPr="0042796F">
        <w:rPr>
          <w:rFonts w:cstheme="minorHAnsi"/>
          <w:sz w:val="24"/>
          <w:szCs w:val="24"/>
        </w:rPr>
        <w:instrText>Physician, Non-Physician, Allied Health Professional, Audiologist, Medical Assistant, Medical Student, Nurse, Nurse Practitioner, Pharmacist, Physical Therapist, Physician Assistant, Registered Dietitian, Resident Physician, Clinical Social Worker, Speech-Language Pathologist, Psychologist</w:instrText>
      </w:r>
      <w:r w:rsidRPr="0042796F">
        <w:rPr>
          <w:rFonts w:cstheme="minorHAnsi"/>
          <w:sz w:val="24"/>
          <w:szCs w:val="24"/>
        </w:rPr>
        <w:instrText xml:space="preserve">" "" </w:instrText>
      </w:r>
      <w:r w:rsidRPr="0042796F">
        <w:rPr>
          <w:rFonts w:cstheme="minorHAnsi"/>
          <w:sz w:val="24"/>
          <w:szCs w:val="24"/>
        </w:rPr>
        <w:fldChar w:fldCharType="separate"/>
      </w:r>
    </w:p>
    <w:p w:rsidR="0042796F" w:rsidRPr="0042796F" w:rsidP="0042796F">
      <w:pPr>
        <w:spacing w:after="0" w:line="240" w:lineRule="auto"/>
        <w:contextualSpacing/>
        <w:rPr>
          <w:rFonts w:cstheme="minorHAnsi"/>
          <w:sz w:val="24"/>
          <w:szCs w:val="24"/>
        </w:rPr>
      </w:pPr>
      <w:r w:rsidRPr="0042796F">
        <w:rPr>
          <w:rFonts w:cstheme="minorHAnsi"/>
          <w:sz w:val="24"/>
          <w:szCs w:val="24"/>
        </w:rPr>
        <w:instrText xml:space="preserve">Professions – </w:instrText>
      </w:r>
      <w:r w:rsidRPr="0042796F">
        <w:rPr>
          <w:rFonts w:cstheme="minorHAnsi"/>
          <w:sz w:val="24"/>
          <w:szCs w:val="24"/>
        </w:rPr>
        <w:instrText>Physician, Non-Physician, Allied Health Professional, Audiologist, Medical Assistant, Medical Student, Nurse, Nurse Practitioner, Pharmacist, Physical Therapist, Physician Assistant, Registered Dietitian, Resident Physician, Clinical Social Worker, Speech-Language Pathologist, Psychologist</w:instrText>
      </w:r>
      <w:r w:rsidRPr="0042796F">
        <w:rPr>
          <w:rFonts w:cstheme="minorHAnsi"/>
          <w:sz w:val="24"/>
          <w:szCs w:val="24"/>
        </w:rPr>
        <w:fldChar w:fldCharType="end"/>
      </w:r>
      <w:r w:rsidRPr="0042796F">
        <w:rPr>
          <w:rFonts w:cstheme="minorHAnsi"/>
          <w:sz w:val="20"/>
          <w:szCs w:val="20"/>
        </w:rPr>
        <w:instrText xml:space="preserve">" "" </w:instrText>
      </w:r>
      <w:r w:rsidRPr="0042796F">
        <w:rPr>
          <w:rFonts w:cstheme="minorHAnsi"/>
          <w:sz w:val="20"/>
          <w:szCs w:val="20"/>
        </w:rPr>
        <w:fldChar w:fldCharType="separate"/>
      </w:r>
    </w:p>
    <w:p w:rsidR="0042796F" w:rsidRPr="0042796F" w:rsidP="0042796F">
      <w:pPr>
        <w:spacing w:after="0" w:line="240" w:lineRule="auto"/>
        <w:contextualSpacing/>
        <w:rPr>
          <w:rFonts w:cstheme="minorHAnsi"/>
          <w:sz w:val="20"/>
          <w:szCs w:val="20"/>
        </w:rPr>
      </w:pPr>
    </w:p>
    <w:p w:rsidR="0042796F" w:rsidRPr="0042796F" w:rsidP="0042796F">
      <w:pPr>
        <w:spacing w:after="0" w:line="240" w:lineRule="auto"/>
        <w:contextualSpacing/>
        <w:rPr>
          <w:rFonts w:cstheme="minorHAnsi"/>
          <w:sz w:val="24"/>
          <w:szCs w:val="24"/>
        </w:rPr>
      </w:pPr>
      <w:r w:rsidRPr="0042796F">
        <w:rPr>
          <w:rFonts w:cstheme="minorHAnsi"/>
          <w:b/>
          <w:bCs/>
          <w:sz w:val="24"/>
          <w:szCs w:val="24"/>
        </w:rPr>
        <w:t>Target Audience</w:t>
      </w:r>
    </w:p>
    <w:p w:rsidR="0042796F" w:rsidRPr="0042796F" w:rsidP="0042796F">
      <w:pPr>
        <w:spacing w:after="0" w:line="240" w:lineRule="auto"/>
        <w:contextualSpacing/>
        <w:rPr>
          <w:rFonts w:cstheme="minorHAnsi"/>
          <w:sz w:val="24"/>
          <w:szCs w:val="24"/>
        </w:rPr>
      </w:pPr>
      <w:r w:rsidRPr="0042796F">
        <w:rPr>
          <w:rFonts w:cstheme="minorHAnsi"/>
          <w:sz w:val="24"/>
          <w:szCs w:val="24"/>
        </w:rPr>
        <w:t xml:space="preserve">Specialties – </w:t>
      </w:r>
      <w:r w:rsidRPr="0042796F">
        <w:rPr>
          <w:rFonts w:cstheme="minorHAnsi"/>
          <w:sz w:val="24"/>
          <w:szCs w:val="24"/>
        </w:rPr>
        <w:t>Neurology, Pathology &amp; Laboratory Medicine, Pediatrics, Genetic And Genomic Medicine, Neurology</w:t>
      </w:r>
    </w:p>
    <w:p w:rsidR="0042796F" w:rsidRPr="0042796F" w:rsidP="0042796F">
      <w:pPr>
        <w:spacing w:after="0" w:line="240" w:lineRule="auto"/>
        <w:contextualSpacing/>
        <w:rPr>
          <w:rFonts w:cstheme="minorHAnsi"/>
          <w:sz w:val="20"/>
          <w:szCs w:val="20"/>
        </w:rPr>
      </w:pPr>
      <w:r w:rsidRPr="0042796F">
        <w:rPr>
          <w:rFonts w:cstheme="minorHAnsi"/>
          <w:sz w:val="24"/>
          <w:szCs w:val="24"/>
        </w:rPr>
        <w:t xml:space="preserve">Professions – </w:t>
      </w:r>
      <w:r w:rsidRPr="0042796F">
        <w:rPr>
          <w:rFonts w:cstheme="minorHAnsi"/>
          <w:sz w:val="24"/>
          <w:szCs w:val="24"/>
        </w:rPr>
        <w:t>Physician, Non-Physician, Allied Health Professional, Audiologist, Medical Assistant, Medical Student, Nurse, Nurse Practitioner, Pharmacist, Physical Therapist, Physician Assistant, Registered Dietitian, Resident Physician, Clinical Social Worker, Speech-Language Pathologist, Psychologist</w:t>
      </w:r>
      <w:r w:rsidRPr="0042796F">
        <w:rPr>
          <w:rFonts w:cstheme="minorHAnsi"/>
          <w:sz w:val="20"/>
          <w:szCs w:val="20"/>
        </w:rPr>
        <w:fldChar w:fldCharType="end"/>
      </w:r>
      <w:r w:rsidR="00467105">
        <w:rPr>
          <w:sz w:val="20"/>
          <w:szCs w:val="20"/>
        </w:rPr>
        <w:fldChar w:fldCharType="begin"/>
      </w:r>
      <w:r w:rsidR="00467105">
        <w:rPr>
          <w:sz w:val="20"/>
          <w:szCs w:val="20"/>
        </w:rPr>
        <w:instrText xml:space="preserve"> IF </w:instrText>
      </w:r>
      <w:r w:rsidR="00467105">
        <w:rPr>
          <w:sz w:val="20"/>
          <w:szCs w:val="20"/>
        </w:rPr>
        <w:instrText>"</w:instrText>
      </w:r>
      <w:r w:rsidR="00467105">
        <w:rPr>
          <w:sz w:val="20"/>
          <w:szCs w:val="20"/>
        </w:rPr>
        <w:instrText>1 Identify different clinical presentations and patterns of involvement in neuromuscular</w:instrText>
      </w:r>
    </w:p>
    <w:p w:rsidR="00467105" w:rsidP="0042796F">
      <w:pPr>
        <w:spacing w:after="0" w:line="240" w:lineRule="auto"/>
        <w:contextualSpacing/>
        <w:rPr>
          <w:sz w:val="20"/>
          <w:szCs w:val="20"/>
        </w:rPr>
      </w:pPr>
      <w:r>
        <w:rPr>
          <w:sz w:val="20"/>
          <w:szCs w:val="20"/>
        </w:rPr>
        <w:instrText>diseases.</w:instrText>
      </w:r>
    </w:p>
    <w:p w:rsidR="00467105" w:rsidP="0042796F">
      <w:pPr>
        <w:spacing w:after="0" w:line="240" w:lineRule="auto"/>
        <w:contextualSpacing/>
        <w:rPr>
          <w:sz w:val="20"/>
          <w:szCs w:val="20"/>
        </w:rPr>
      </w:pPr>
    </w:p>
    <w:p w:rsidR="00467105" w:rsidP="0042796F">
      <w:pPr>
        <w:spacing w:after="0" w:line="240" w:lineRule="auto"/>
        <w:contextualSpacing/>
        <w:rPr>
          <w:sz w:val="20"/>
          <w:szCs w:val="20"/>
        </w:rPr>
      </w:pPr>
      <w:r>
        <w:rPr>
          <w:sz w:val="20"/>
          <w:szCs w:val="20"/>
        </w:rPr>
        <w:instrText>2 Understand current standards and guidelines for management of neuromuscular</w:instrText>
      </w:r>
    </w:p>
    <w:p w:rsidR="00467105" w:rsidP="0042796F">
      <w:pPr>
        <w:spacing w:after="0" w:line="240" w:lineRule="auto"/>
        <w:contextualSpacing/>
        <w:rPr>
          <w:sz w:val="20"/>
          <w:szCs w:val="20"/>
        </w:rPr>
      </w:pPr>
      <w:r>
        <w:rPr>
          <w:sz w:val="20"/>
          <w:szCs w:val="20"/>
        </w:rPr>
        <w:instrText>disorders.</w:instrText>
      </w:r>
    </w:p>
    <w:p w:rsidR="00467105" w:rsidP="0042796F">
      <w:pPr>
        <w:spacing w:after="0" w:line="240" w:lineRule="auto"/>
        <w:contextualSpacing/>
        <w:rPr>
          <w:sz w:val="20"/>
          <w:szCs w:val="20"/>
        </w:rPr>
      </w:pPr>
      <w:r>
        <w:rPr>
          <w:sz w:val="20"/>
          <w:szCs w:val="20"/>
        </w:rPr>
        <w:instrText>3 Understand genetic basis of inherited myopathies and advancements in gene</w:instrText>
      </w:r>
    </w:p>
    <w:p w:rsidR="00467105" w:rsidP="0042796F">
      <w:pPr>
        <w:spacing w:after="0" w:line="240" w:lineRule="auto"/>
        <w:contextualSpacing/>
        <w:rPr>
          <w:sz w:val="20"/>
          <w:szCs w:val="20"/>
        </w:rPr>
      </w:pPr>
      <w:r>
        <w:rPr>
          <w:sz w:val="20"/>
          <w:szCs w:val="20"/>
        </w:rPr>
        <w:instrText>therapies.</w:instrText>
      </w:r>
    </w:p>
    <w:p w:rsidR="00467105" w:rsidP="0042796F">
      <w:pPr>
        <w:spacing w:after="0" w:line="240" w:lineRule="auto"/>
        <w:contextualSpacing/>
        <w:rPr>
          <w:sz w:val="20"/>
          <w:szCs w:val="20"/>
        </w:rPr>
      </w:pPr>
      <w:r>
        <w:rPr>
          <w:sz w:val="20"/>
          <w:szCs w:val="20"/>
        </w:rPr>
        <w:instrText>4 Understand the changing landscape of myasthenia gravis treatment in light of recent</w:instrText>
      </w:r>
    </w:p>
    <w:p w:rsidR="00467105" w:rsidP="0042796F">
      <w:pPr>
        <w:spacing w:after="0" w:line="240" w:lineRule="auto"/>
        <w:contextualSpacing/>
        <w:rPr>
          <w:sz w:val="20"/>
          <w:szCs w:val="20"/>
        </w:rPr>
      </w:pPr>
      <w:r>
        <w:rPr>
          <w:sz w:val="20"/>
          <w:szCs w:val="20"/>
        </w:rPr>
        <w:instrText>development of targeted therapies such as complement inhibition and neonatal Fc</w:instrText>
      </w:r>
    </w:p>
    <w:p w:rsidR="00467105" w:rsidP="0042796F">
      <w:pPr>
        <w:spacing w:after="0" w:line="240" w:lineRule="auto"/>
        <w:contextualSpacing/>
        <w:rPr>
          <w:sz w:val="20"/>
          <w:szCs w:val="20"/>
        </w:rPr>
      </w:pPr>
      <w:r>
        <w:rPr>
          <w:sz w:val="20"/>
          <w:szCs w:val="20"/>
        </w:rPr>
        <w:instrText>receptor (FcRn) blockade.</w:instrText>
      </w:r>
    </w:p>
    <w:p w:rsidR="00467105" w:rsidP="0042796F">
      <w:pPr>
        <w:spacing w:after="0" w:line="240" w:lineRule="auto"/>
        <w:contextualSpacing/>
        <w:rPr>
          <w:sz w:val="20"/>
          <w:szCs w:val="20"/>
        </w:rPr>
      </w:pPr>
      <w:r>
        <w:rPr>
          <w:sz w:val="20"/>
          <w:szCs w:val="20"/>
        </w:rPr>
        <w:instrText>5 Discuss ongoing clinical trials in Amyotrophic Lateral Sclerosis including gene targeted and cell-based therapies.</w:instrText>
      </w:r>
    </w:p>
    <w:p w:rsidR="00467105" w:rsidP="0042796F">
      <w:pPr>
        <w:spacing w:after="0" w:line="240" w:lineRule="auto"/>
        <w:contextualSpacing/>
        <w:rPr>
          <w:sz w:val="20"/>
          <w:szCs w:val="20"/>
        </w:rPr>
      </w:pPr>
      <w:r>
        <w:rPr>
          <w:sz w:val="20"/>
          <w:szCs w:val="20"/>
        </w:rPr>
        <w:instrText>6 Understand the diagnostic and therapeutic advancements of muscle diseases</w:instrText>
      </w:r>
      <w:r>
        <w:rPr>
          <w:sz w:val="20"/>
          <w:szCs w:val="20"/>
        </w:rPr>
        <w:instrText>"</w:instrText>
      </w:r>
      <w:r>
        <w:rPr>
          <w:sz w:val="20"/>
          <w:szCs w:val="20"/>
        </w:rPr>
        <w:instrText xml:space="preserve"> &lt;&gt; "" "</w:instrText>
      </w:r>
    </w:p>
    <w:p w:rsidR="00F07483" w:rsidP="004F716E">
      <w:pPr>
        <w:spacing w:after="0" w:line="240" w:lineRule="auto"/>
        <w:contextualSpacing/>
        <w:rPr>
          <w:sz w:val="20"/>
          <w:szCs w:val="20"/>
        </w:rPr>
      </w:pPr>
    </w:p>
    <w:p w:rsidR="00F07483" w:rsidP="004F716E">
      <w:pPr>
        <w:spacing w:after="0" w:line="240" w:lineRule="auto"/>
        <w:contextualSpacing/>
        <w:rPr>
          <w:sz w:val="24"/>
          <w:szCs w:val="24"/>
        </w:rPr>
      </w:pPr>
      <w:r>
        <w:rPr>
          <w:b/>
          <w:bCs/>
          <w:sz w:val="24"/>
          <w:szCs w:val="24"/>
        </w:rPr>
        <w:instrText>Activity Objectives</w:instrText>
      </w:r>
    </w:p>
    <w:p w:rsidR="00D46C0D" w:rsidP="0042796F">
      <w:pPr>
        <w:spacing w:after="0" w:line="240" w:lineRule="auto"/>
        <w:contextualSpacing/>
        <w:rPr>
          <w:noProof/>
          <w:sz w:val="20"/>
          <w:szCs w:val="20"/>
        </w:rPr>
      </w:pPr>
      <w:r>
        <w:rPr>
          <w:sz w:val="24"/>
          <w:szCs w:val="24"/>
        </w:rPr>
        <w:instrText>1 Identify different clinical presentations and patterns of involvement in neuromuscular</w:instrText>
      </w:r>
    </w:p>
    <w:p w:rsidP="0042796F">
      <w:pPr>
        <w:spacing w:after="0" w:line="240" w:lineRule="auto"/>
        <w:contextualSpacing/>
        <w:rPr>
          <w:sz w:val="24"/>
          <w:szCs w:val="24"/>
        </w:rPr>
      </w:pPr>
      <w:r>
        <w:rPr>
          <w:sz w:val="24"/>
          <w:szCs w:val="24"/>
        </w:rPr>
        <w:instrText>diseases.</w:instrText>
      </w:r>
    </w:p>
    <w:p w:rsidP="0042796F">
      <w:pPr>
        <w:spacing w:after="0" w:line="240" w:lineRule="auto"/>
        <w:contextualSpacing/>
        <w:rPr>
          <w:sz w:val="24"/>
          <w:szCs w:val="24"/>
        </w:rPr>
      </w:pPr>
    </w:p>
    <w:p w:rsidP="0042796F">
      <w:pPr>
        <w:spacing w:after="0" w:line="240" w:lineRule="auto"/>
        <w:contextualSpacing/>
        <w:rPr>
          <w:sz w:val="24"/>
          <w:szCs w:val="24"/>
        </w:rPr>
      </w:pPr>
      <w:r>
        <w:rPr>
          <w:sz w:val="24"/>
          <w:szCs w:val="24"/>
        </w:rPr>
        <w:instrText>2 Understand current standards and guidelines for management of neuromuscular</w:instrText>
      </w:r>
    </w:p>
    <w:p w:rsidP="0042796F">
      <w:pPr>
        <w:spacing w:after="0" w:line="240" w:lineRule="auto"/>
        <w:contextualSpacing/>
        <w:rPr>
          <w:sz w:val="24"/>
          <w:szCs w:val="24"/>
        </w:rPr>
      </w:pPr>
      <w:r>
        <w:rPr>
          <w:sz w:val="24"/>
          <w:szCs w:val="24"/>
        </w:rPr>
        <w:instrText>disorders.</w:instrText>
      </w:r>
    </w:p>
    <w:p w:rsidP="0042796F">
      <w:pPr>
        <w:spacing w:after="0" w:line="240" w:lineRule="auto"/>
        <w:contextualSpacing/>
        <w:rPr>
          <w:sz w:val="24"/>
          <w:szCs w:val="24"/>
        </w:rPr>
      </w:pPr>
      <w:r>
        <w:rPr>
          <w:sz w:val="24"/>
          <w:szCs w:val="24"/>
        </w:rPr>
        <w:instrText>3 Understand genetic basis of inherited myopathies and advancements in gene</w:instrText>
      </w:r>
    </w:p>
    <w:p w:rsidP="0042796F">
      <w:pPr>
        <w:spacing w:after="0" w:line="240" w:lineRule="auto"/>
        <w:contextualSpacing/>
        <w:rPr>
          <w:sz w:val="24"/>
          <w:szCs w:val="24"/>
        </w:rPr>
      </w:pPr>
      <w:r>
        <w:rPr>
          <w:sz w:val="24"/>
          <w:szCs w:val="24"/>
        </w:rPr>
        <w:instrText>therapies.</w:instrText>
      </w:r>
    </w:p>
    <w:p w:rsidP="0042796F">
      <w:pPr>
        <w:spacing w:after="0" w:line="240" w:lineRule="auto"/>
        <w:contextualSpacing/>
        <w:rPr>
          <w:sz w:val="24"/>
          <w:szCs w:val="24"/>
        </w:rPr>
      </w:pPr>
      <w:r>
        <w:rPr>
          <w:sz w:val="24"/>
          <w:szCs w:val="24"/>
        </w:rPr>
        <w:instrText>4 Understand the changing landscape of myasthenia gravis treatment in light of recent</w:instrText>
      </w:r>
    </w:p>
    <w:p w:rsidP="0042796F">
      <w:pPr>
        <w:spacing w:after="0" w:line="240" w:lineRule="auto"/>
        <w:contextualSpacing/>
        <w:rPr>
          <w:sz w:val="24"/>
          <w:szCs w:val="24"/>
        </w:rPr>
      </w:pPr>
      <w:r>
        <w:rPr>
          <w:sz w:val="24"/>
          <w:szCs w:val="24"/>
        </w:rPr>
        <w:instrText>development of targeted therapies such as complement inhibition and neonatal Fc</w:instrText>
      </w:r>
    </w:p>
    <w:p w:rsidP="0042796F">
      <w:pPr>
        <w:spacing w:after="0" w:line="240" w:lineRule="auto"/>
        <w:contextualSpacing/>
        <w:rPr>
          <w:sz w:val="24"/>
          <w:szCs w:val="24"/>
        </w:rPr>
      </w:pPr>
      <w:r>
        <w:rPr>
          <w:sz w:val="24"/>
          <w:szCs w:val="24"/>
        </w:rPr>
        <w:instrText>receptor (FcRn) blockade.</w:instrText>
      </w:r>
    </w:p>
    <w:p w:rsidP="0042796F">
      <w:pPr>
        <w:spacing w:after="0" w:line="240" w:lineRule="auto"/>
        <w:contextualSpacing/>
        <w:rPr>
          <w:sz w:val="24"/>
          <w:szCs w:val="24"/>
        </w:rPr>
      </w:pPr>
      <w:r>
        <w:rPr>
          <w:sz w:val="24"/>
          <w:szCs w:val="24"/>
        </w:rPr>
        <w:instrText>5 Discuss ongoing clinical trials in Amyotrophic Lateral Sclerosis including gene targeted and cell-based therapies.</w:instrText>
      </w:r>
    </w:p>
    <w:p w:rsidP="0042796F">
      <w:pPr>
        <w:spacing w:after="0" w:line="240" w:lineRule="auto"/>
        <w:contextualSpacing/>
        <w:rPr>
          <w:sz w:val="24"/>
          <w:szCs w:val="24"/>
        </w:rPr>
      </w:pPr>
      <w:r>
        <w:rPr>
          <w:sz w:val="24"/>
          <w:szCs w:val="24"/>
        </w:rPr>
        <w:instrText>6 Understand the diagnostic and therapeutic advancements of muscle diseases</w:instrText>
      </w:r>
      <w:r w:rsidR="00467105">
        <w:rPr>
          <w:sz w:val="20"/>
          <w:szCs w:val="20"/>
        </w:rPr>
        <w:instrText xml:space="preserve">" "" </w:instrText>
      </w:r>
      <w:r w:rsidR="00467105">
        <w:rPr>
          <w:sz w:val="20"/>
          <w:szCs w:val="20"/>
        </w:rPr>
        <w:fldChar w:fldCharType="separate"/>
      </w:r>
    </w:p>
    <w:p w:rsidR="00F07483" w:rsidP="004F716E">
      <w:pPr>
        <w:spacing w:after="0" w:line="240" w:lineRule="auto"/>
        <w:contextualSpacing/>
        <w:rPr>
          <w:sz w:val="20"/>
          <w:szCs w:val="20"/>
        </w:rPr>
      </w:pPr>
    </w:p>
    <w:p w:rsidR="00F07483" w:rsidP="004F716E">
      <w:pPr>
        <w:spacing w:after="0" w:line="240" w:lineRule="auto"/>
        <w:contextualSpacing/>
        <w:rPr>
          <w:sz w:val="24"/>
          <w:szCs w:val="24"/>
        </w:rPr>
      </w:pPr>
      <w:r>
        <w:rPr>
          <w:b/>
          <w:bCs/>
          <w:sz w:val="24"/>
          <w:szCs w:val="24"/>
        </w:rPr>
        <w:t>Activity Objectives</w:t>
      </w:r>
    </w:p>
    <w:p w:rsidR="00D46C0D" w:rsidP="0042796F">
      <w:pPr>
        <w:spacing w:after="0" w:line="240" w:lineRule="auto"/>
        <w:contextualSpacing/>
        <w:rPr>
          <w:noProof/>
          <w:sz w:val="20"/>
          <w:szCs w:val="20"/>
        </w:rPr>
      </w:pPr>
      <w:r>
        <w:rPr>
          <w:sz w:val="24"/>
          <w:szCs w:val="24"/>
        </w:rPr>
        <w:t>1 Identify different clinical presentations and patterns of involvement in neuromuscular</w:t>
      </w:r>
    </w:p>
    <w:p w:rsidP="0042796F">
      <w:pPr>
        <w:spacing w:after="0" w:line="240" w:lineRule="auto"/>
        <w:contextualSpacing/>
        <w:rPr>
          <w:sz w:val="24"/>
          <w:szCs w:val="24"/>
        </w:rPr>
      </w:pPr>
      <w:r>
        <w:rPr>
          <w:sz w:val="24"/>
          <w:szCs w:val="24"/>
        </w:rPr>
        <w:t>diseases.</w:t>
      </w:r>
    </w:p>
    <w:p w:rsidP="0042796F">
      <w:pPr>
        <w:spacing w:after="0" w:line="240" w:lineRule="auto"/>
        <w:contextualSpacing/>
        <w:rPr>
          <w:sz w:val="24"/>
          <w:szCs w:val="24"/>
        </w:rPr>
      </w:pPr>
    </w:p>
    <w:p w:rsidP="0042796F">
      <w:pPr>
        <w:spacing w:after="0" w:line="240" w:lineRule="auto"/>
        <w:contextualSpacing/>
        <w:rPr>
          <w:sz w:val="24"/>
          <w:szCs w:val="24"/>
        </w:rPr>
      </w:pPr>
      <w:r>
        <w:rPr>
          <w:sz w:val="24"/>
          <w:szCs w:val="24"/>
        </w:rPr>
        <w:t>2 Understand current standards and guidelines for management of neuromuscular</w:t>
      </w:r>
    </w:p>
    <w:p w:rsidP="0042796F">
      <w:pPr>
        <w:spacing w:after="0" w:line="240" w:lineRule="auto"/>
        <w:contextualSpacing/>
        <w:rPr>
          <w:sz w:val="24"/>
          <w:szCs w:val="24"/>
        </w:rPr>
      </w:pPr>
      <w:r>
        <w:rPr>
          <w:sz w:val="24"/>
          <w:szCs w:val="24"/>
        </w:rPr>
        <w:t>disorders.</w:t>
      </w:r>
    </w:p>
    <w:p w:rsidP="0042796F">
      <w:pPr>
        <w:spacing w:after="0" w:line="240" w:lineRule="auto"/>
        <w:contextualSpacing/>
        <w:rPr>
          <w:sz w:val="24"/>
          <w:szCs w:val="24"/>
        </w:rPr>
      </w:pPr>
      <w:r>
        <w:rPr>
          <w:sz w:val="24"/>
          <w:szCs w:val="24"/>
        </w:rPr>
        <w:t>3 Understand genetic basis of inherited myopathies and advancements in gene</w:t>
      </w:r>
    </w:p>
    <w:p w:rsidP="0042796F">
      <w:pPr>
        <w:spacing w:after="0" w:line="240" w:lineRule="auto"/>
        <w:contextualSpacing/>
        <w:rPr>
          <w:sz w:val="24"/>
          <w:szCs w:val="24"/>
        </w:rPr>
      </w:pPr>
      <w:r>
        <w:rPr>
          <w:sz w:val="24"/>
          <w:szCs w:val="24"/>
        </w:rPr>
        <w:t>therapies.</w:t>
      </w:r>
    </w:p>
    <w:p w:rsidP="0042796F">
      <w:pPr>
        <w:spacing w:after="0" w:line="240" w:lineRule="auto"/>
        <w:contextualSpacing/>
        <w:rPr>
          <w:sz w:val="24"/>
          <w:szCs w:val="24"/>
        </w:rPr>
      </w:pPr>
      <w:r>
        <w:rPr>
          <w:sz w:val="24"/>
          <w:szCs w:val="24"/>
        </w:rPr>
        <w:t>4 Understand the changing landscape of myasthenia gravis treatment in light of recent</w:t>
      </w:r>
    </w:p>
    <w:p w:rsidP="0042796F">
      <w:pPr>
        <w:spacing w:after="0" w:line="240" w:lineRule="auto"/>
        <w:contextualSpacing/>
        <w:rPr>
          <w:sz w:val="24"/>
          <w:szCs w:val="24"/>
        </w:rPr>
      </w:pPr>
      <w:r>
        <w:rPr>
          <w:sz w:val="24"/>
          <w:szCs w:val="24"/>
        </w:rPr>
        <w:t>development of targeted therapies such as complement inhibition and neonatal Fc</w:t>
      </w:r>
    </w:p>
    <w:p w:rsidP="0042796F">
      <w:pPr>
        <w:spacing w:after="0" w:line="240" w:lineRule="auto"/>
        <w:contextualSpacing/>
        <w:rPr>
          <w:sz w:val="24"/>
          <w:szCs w:val="24"/>
        </w:rPr>
      </w:pPr>
      <w:r>
        <w:rPr>
          <w:sz w:val="24"/>
          <w:szCs w:val="24"/>
        </w:rPr>
        <w:t>receptor (FcRn) blockade.</w:t>
      </w:r>
    </w:p>
    <w:p w:rsidP="0042796F">
      <w:pPr>
        <w:spacing w:after="0" w:line="240" w:lineRule="auto"/>
        <w:contextualSpacing/>
        <w:rPr>
          <w:sz w:val="24"/>
          <w:szCs w:val="24"/>
        </w:rPr>
      </w:pPr>
      <w:r>
        <w:rPr>
          <w:sz w:val="24"/>
          <w:szCs w:val="24"/>
        </w:rPr>
        <w:t>5 Discuss ongoing clinical trials in Amyotrophic Lateral Sclerosis including gene targeted and cell-based therapies.</w:t>
      </w:r>
    </w:p>
    <w:p w:rsidR="00467105" w:rsidP="0042796F">
      <w:pPr>
        <w:spacing w:after="0" w:line="240" w:lineRule="auto"/>
        <w:contextualSpacing/>
        <w:rPr>
          <w:sz w:val="20"/>
          <w:szCs w:val="20"/>
        </w:rPr>
      </w:pPr>
      <w:r>
        <w:rPr>
          <w:sz w:val="24"/>
          <w:szCs w:val="24"/>
        </w:rPr>
        <w:t>6 Understand the diagnostic and therapeutic advancements of muscle diseases</w:t>
      </w:r>
      <w:r>
        <w:rPr>
          <w:sz w:val="20"/>
          <w:szCs w:val="20"/>
        </w:rPr>
        <w:fldChar w:fldCharType="end"/>
      </w:r>
    </w:p>
    <w:p w:rsidR="004F716E" w:rsidP="004F716E">
      <w:pPr>
        <w:spacing w:after="0" w:line="240" w:lineRule="auto"/>
        <w:contextualSpacing/>
        <w:rPr>
          <w:sz w:val="20"/>
          <w:szCs w:val="20"/>
        </w:rPr>
      </w:pPr>
    </w:p>
    <w:p w:rsidR="004F716E" w:rsidRPr="00CC147B" w:rsidP="004F716E">
      <w:pPr>
        <w:spacing w:after="0" w:line="240" w:lineRule="auto"/>
        <w:contextualSpacing/>
        <w:rPr>
          <w:b/>
          <w:bCs/>
          <w:sz w:val="24"/>
          <w:szCs w:val="24"/>
        </w:rPr>
      </w:pPr>
      <w:r>
        <w:rPr>
          <w:b/>
          <w:bCs/>
          <w:sz w:val="24"/>
          <w:szCs w:val="24"/>
        </w:rPr>
        <w:t>Accreditation Statement</w:t>
      </w:r>
    </w:p>
    <w:p w:rsidR="004F716E" w:rsidRPr="00CC147B" w:rsidP="004F716E">
      <w:pPr>
        <w:spacing w:after="0" w:line="240" w:lineRule="auto"/>
        <w:contextualSpacing/>
        <w:rPr>
          <w:sz w:val="24"/>
          <w:szCs w:val="24"/>
        </w:rPr>
      </w:pPr>
      <w:r>
        <w:rPr>
          <w:sz w:val="24"/>
          <w:szCs w:val="24"/>
        </w:rPr>
        <w:fldChar w:fldCharType="begin"/>
      </w:r>
      <w:r>
        <w:rPr>
          <w:sz w:val="24"/>
          <w:szCs w:val="24"/>
        </w:rPr>
        <w:instrText xml:space="preserve"> IF </w:instrText>
      </w:r>
      <w:r>
        <w:rPr>
          <w:sz w:val="24"/>
          <w:szCs w:val="24"/>
        </w:rPr>
        <w:instrText>"</w:instrText>
      </w:r>
      <w:r>
        <w:rPr>
          <w:sz w:val="24"/>
          <w:szCs w:val="24"/>
        </w:rPr>
        <w:instrText>"</w:instrText>
      </w:r>
      <w:r>
        <w:rPr>
          <w:sz w:val="24"/>
          <w:szCs w:val="24"/>
        </w:rPr>
        <w:instrText xml:space="preserve"> &lt;&gt; "" "</w:instrText>
      </w:r>
      <w:r w:rsidRPr="00D46C0D" w:rsidR="00D46C0D">
        <w:rPr>
          <w:rFonts w:ascii="Aleo Light" w:hAnsi="Aleo Light"/>
          <w:color w:val="000000"/>
          <w:shd w:val="clear" w:color="auto" w:fill="FFFFFF"/>
        </w:rPr>
        <w:instrText xml:space="preserve"> </w:instrText>
      </w:r>
      <w:r w:rsidRPr="00D46C0D" w:rsidR="00D46C0D">
        <w:rPr>
          <w:sz w:val="24"/>
          <w:szCs w:val="24"/>
        </w:rPr>
        <w:instrText xml:space="preserve">This activity has been planned and implemented in accordance with the accreditation requirements and policies of the Accreditation Council for Continuing Medical Education (ACCME) through the joint providership of the University of California, Irvine School of Medicine and </w:instrText>
      </w:r>
      <w:r w:rsidR="002B69BD">
        <w:rPr>
          <w:sz w:val="24"/>
          <w:szCs w:val="24"/>
        </w:rPr>
        <w:fldChar w:fldCharType="begin"/>
      </w:r>
      <w:r w:rsidR="002B69BD">
        <w:rPr>
          <w:sz w:val="24"/>
          <w:szCs w:val="24"/>
        </w:rPr>
        <w:instrText xml:space="preserve"> MERGEFIELD JointProviderName \* MERGEFORMAT </w:instrText>
      </w:r>
      <w:r w:rsidR="002B69BD">
        <w:rPr>
          <w:sz w:val="24"/>
          <w:szCs w:val="24"/>
        </w:rPr>
        <w:fldChar w:fldCharType="separate"/>
      </w:r>
      <w:r w:rsidR="002B69BD">
        <w:rPr>
          <w:noProof/>
          <w:sz w:val="24"/>
          <w:szCs w:val="24"/>
        </w:rPr>
        <w:instrText>«JointProviderName»</w:instrText>
      </w:r>
      <w:r w:rsidR="002B69BD">
        <w:rPr>
          <w:sz w:val="24"/>
          <w:szCs w:val="24"/>
        </w:rPr>
        <w:fldChar w:fldCharType="end"/>
      </w:r>
      <w:r w:rsidRPr="00D46C0D" w:rsidR="00D46C0D">
        <w:rPr>
          <w:sz w:val="24"/>
          <w:szCs w:val="24"/>
        </w:rPr>
        <w:instrText>.  The University of California, Irvine School of Medicine is accredited by the ACCME to provide continuing medical education for physicians.</w:instrText>
      </w:r>
      <w:r>
        <w:rPr>
          <w:sz w:val="24"/>
          <w:szCs w:val="24"/>
        </w:rPr>
        <w:instrText>" "</w:instrText>
      </w:r>
      <w:r w:rsidRPr="00CC147B">
        <w:rPr>
          <w:sz w:val="24"/>
          <w:szCs w:val="24"/>
        </w:rPr>
        <w:instrText>The University of California, Irvine School of Medicine is accredited by the Accreditation Council for Continuing Medical Education</w:instrText>
      </w:r>
      <w:r>
        <w:rPr>
          <w:sz w:val="24"/>
          <w:szCs w:val="24"/>
        </w:rPr>
        <w:instrText xml:space="preserve">" </w:instrText>
      </w:r>
      <w:r>
        <w:rPr>
          <w:sz w:val="24"/>
          <w:szCs w:val="24"/>
        </w:rPr>
        <w:fldChar w:fldCharType="separate"/>
      </w:r>
      <w:r w:rsidRPr="00CC147B">
        <w:rPr>
          <w:sz w:val="24"/>
          <w:szCs w:val="24"/>
        </w:rPr>
        <w:t>The University of California, Irvine School of Medicine is accredited by the Accreditation Council for Continuing Medical Education</w:t>
      </w:r>
      <w:r>
        <w:rPr>
          <w:sz w:val="24"/>
          <w:szCs w:val="24"/>
        </w:rPr>
        <w:fldChar w:fldCharType="end"/>
      </w:r>
      <w:r>
        <w:rPr>
          <w:sz w:val="24"/>
          <w:szCs w:val="24"/>
        </w:rPr>
        <w:t xml:space="preserve"> to provide continuing medical education for physicians.</w:t>
      </w:r>
    </w:p>
    <w:p w:rsidR="004F716E" w:rsidP="004F716E">
      <w:pPr>
        <w:spacing w:after="0" w:line="240" w:lineRule="auto"/>
        <w:contextualSpacing/>
        <w:rPr>
          <w:sz w:val="20"/>
          <w:szCs w:val="20"/>
        </w:rPr>
      </w:pPr>
    </w:p>
    <w:p w:rsidR="004F716E" w:rsidP="004F716E">
      <w:pPr>
        <w:spacing w:after="0" w:line="240" w:lineRule="auto"/>
        <w:contextualSpacing/>
        <w:rPr>
          <w:b/>
          <w:bCs/>
          <w:sz w:val="24"/>
          <w:szCs w:val="24"/>
        </w:rPr>
      </w:pPr>
      <w:r>
        <w:rPr>
          <w:b/>
          <w:bCs/>
          <w:sz w:val="24"/>
          <w:szCs w:val="24"/>
        </w:rPr>
        <w:t>Designation Statement</w:t>
      </w:r>
    </w:p>
    <w:p w:rsidR="00CC147B" w:rsidRPr="00CC147B" w:rsidP="004F716E">
      <w:pPr>
        <w:spacing w:after="0" w:line="240" w:lineRule="auto"/>
        <w:contextualSpacing/>
        <w:rPr>
          <w:sz w:val="24"/>
          <w:szCs w:val="24"/>
        </w:rPr>
      </w:pPr>
      <w:r w:rsidRPr="00CC147B">
        <w:rPr>
          <w:sz w:val="24"/>
          <w:szCs w:val="24"/>
        </w:rPr>
        <w:t xml:space="preserve">The University of California, Irvine School of Medicine designates this </w:t>
      </w:r>
      <w:r>
        <w:rPr>
          <w:sz w:val="24"/>
          <w:szCs w:val="24"/>
        </w:rPr>
        <w:fldChar w:fldCharType="begin"/>
      </w:r>
      <w:r>
        <w:rPr>
          <w:sz w:val="24"/>
          <w:szCs w:val="24"/>
        </w:rPr>
        <w:instrText xml:space="preserve"> IF </w:instrText>
      </w:r>
      <w:r>
        <w:rPr>
          <w:sz w:val="24"/>
          <w:szCs w:val="24"/>
        </w:rPr>
        <w:instrText>"</w:instrText>
      </w:r>
      <w:r>
        <w:rPr>
          <w:sz w:val="24"/>
          <w:szCs w:val="24"/>
        </w:rPr>
        <w:instrText>Live Activity</w:instrText>
      </w:r>
      <w:r>
        <w:rPr>
          <w:sz w:val="24"/>
          <w:szCs w:val="24"/>
        </w:rPr>
        <w:instrText>"</w:instrText>
      </w:r>
      <w:r>
        <w:rPr>
          <w:sz w:val="24"/>
          <w:szCs w:val="24"/>
        </w:rPr>
        <w:instrText xml:space="preserve"> &lt;&gt; "" "</w:instrText>
      </w:r>
      <w:r>
        <w:rPr>
          <w:sz w:val="24"/>
          <w:szCs w:val="24"/>
        </w:rPr>
        <w:instrText>Live Activity</w:instrText>
      </w:r>
      <w:r>
        <w:rPr>
          <w:sz w:val="24"/>
          <w:szCs w:val="24"/>
        </w:rPr>
        <w:instrText xml:space="preserve">" "activity" </w:instrText>
      </w:r>
      <w:r>
        <w:rPr>
          <w:sz w:val="24"/>
          <w:szCs w:val="24"/>
        </w:rPr>
        <w:fldChar w:fldCharType="separate"/>
      </w:r>
      <w:r>
        <w:rPr>
          <w:sz w:val="24"/>
          <w:szCs w:val="24"/>
        </w:rPr>
        <w:t>Live Activity</w:t>
      </w:r>
      <w:r>
        <w:rPr>
          <w:sz w:val="24"/>
          <w:szCs w:val="24"/>
        </w:rPr>
        <w:fldChar w:fldCharType="end"/>
      </w:r>
      <w:r w:rsidRPr="00CC147B">
        <w:rPr>
          <w:sz w:val="24"/>
          <w:szCs w:val="24"/>
        </w:rPr>
        <w:t xml:space="preserve"> for a maximum of </w:t>
      </w:r>
      <w:r>
        <w:rPr>
          <w:sz w:val="24"/>
          <w:szCs w:val="24"/>
        </w:rPr>
        <w:t>8.00</w:t>
      </w:r>
      <w:r w:rsidRPr="00CC147B">
        <w:rPr>
          <w:sz w:val="24"/>
          <w:szCs w:val="24"/>
        </w:rPr>
        <w:t xml:space="preserve"> </w:t>
      </w:r>
      <w:r w:rsidRPr="00CC147B">
        <w:rPr>
          <w:i/>
          <w:iCs/>
          <w:sz w:val="24"/>
          <w:szCs w:val="24"/>
        </w:rPr>
        <w:t>AMA PRA Category 1 Credit(s)</w:t>
      </w:r>
      <w:r w:rsidRPr="00CC147B">
        <w:rPr>
          <w:sz w:val="24"/>
          <w:szCs w:val="24"/>
        </w:rPr>
        <w:t>™. Physicians should claim only the credit commensurate with the extent of their participation in the activity.</w:t>
      </w:r>
    </w:p>
    <w:p w:rsidR="004F716E" w:rsidP="004F716E">
      <w:pPr>
        <w:spacing w:after="0" w:line="240" w:lineRule="auto"/>
        <w:contextualSpacing/>
        <w:rPr>
          <w:sz w:val="20"/>
          <w:szCs w:val="20"/>
        </w:rPr>
      </w:pPr>
    </w:p>
    <w:p w:rsidR="00CC147B" w:rsidRPr="00CC147B" w:rsidP="00CC147B">
      <w:pPr>
        <w:spacing w:after="0" w:line="240" w:lineRule="auto"/>
        <w:contextualSpacing/>
        <w:rPr>
          <w:b/>
          <w:bCs/>
          <w:sz w:val="24"/>
          <w:szCs w:val="24"/>
        </w:rPr>
      </w:pPr>
      <w:r w:rsidRPr="00CC147B">
        <w:rPr>
          <w:b/>
          <w:bCs/>
          <w:sz w:val="24"/>
          <w:szCs w:val="24"/>
        </w:rPr>
        <w:t>California Assembly Bill 1195 and 241</w:t>
      </w:r>
    </w:p>
    <w:p w:rsidR="00B74E46" w:rsidRPr="00830DFB" w:rsidP="00B74E46">
      <w:pPr>
        <w:spacing w:after="0" w:line="240" w:lineRule="auto"/>
        <w:contextualSpacing/>
        <w:rPr>
          <w:sz w:val="24"/>
          <w:szCs w:val="24"/>
        </w:rPr>
      </w:pPr>
      <w:r w:rsidRPr="00CC147B">
        <w:rPr>
          <w:sz w:val="24"/>
          <w:szCs w:val="24"/>
        </w:rPr>
        <w:t xml:space="preserve">This activity </w:t>
      </w:r>
      <w:r w:rsidRPr="00CC147B">
        <w:rPr>
          <w:sz w:val="24"/>
          <w:szCs w:val="24"/>
        </w:rPr>
        <w:t>is in compliance with</w:t>
      </w:r>
      <w:r w:rsidRPr="00CC147B">
        <w:rPr>
          <w:sz w:val="24"/>
          <w:szCs w:val="24"/>
        </w:rPr>
        <w:t xml:space="preserve"> California Assembly Bill 1195 and 241, which require CME activities with patient care components to include curriculum in the subjects of cultural and linguistic competency &amp; implicit bias. It is the intent of AB 1195 and AB 241 to encourage physicians and surgeons, CME providers in the State of California, and the Accreditation Council for Continuing Medical Education to meet the cultural and linguistic concerns of a diverse patient population and reduce health disparities through appropriate professional development. Please see the CME website, </w:t>
      </w:r>
      <w:r>
        <w:fldChar w:fldCharType="begin"/>
      </w:r>
      <w:r>
        <w:instrText xml:space="preserve"> HYPERLINK "https://www.meded.uci.edu/CME/" </w:instrText>
      </w:r>
      <w:r>
        <w:fldChar w:fldCharType="separate"/>
      </w:r>
      <w:r w:rsidRPr="007312E1" w:rsidR="007312E1">
        <w:rPr>
          <w:rStyle w:val="Hyperlink"/>
          <w:sz w:val="24"/>
          <w:szCs w:val="24"/>
        </w:rPr>
        <w:t>https://www.meded.uci.edu/CME/</w:t>
      </w:r>
      <w:r>
        <w:fldChar w:fldCharType="end"/>
      </w:r>
      <w:r w:rsidR="007312E1">
        <w:rPr>
          <w:sz w:val="24"/>
          <w:szCs w:val="24"/>
        </w:rPr>
        <w:t xml:space="preserve"> </w:t>
      </w:r>
      <w:r w:rsidRPr="00CC147B">
        <w:rPr>
          <w:sz w:val="24"/>
          <w:szCs w:val="24"/>
        </w:rPr>
        <w:t>for AB 1195 and AB 241 resources.</w:t>
      </w:r>
      <w:r w:rsidRPr="00B74E46">
        <w:rPr>
          <w:sz w:val="20"/>
          <w:szCs w:val="20"/>
        </w:rPr>
        <w:t xml:space="preserve"> </w:t>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w:instrText>
      </w:r>
      <w:r>
        <w:rPr>
          <w:sz w:val="20"/>
          <w:szCs w:val="20"/>
        </w:rPr>
        <w:fldChar w:fldCharType="separate"/>
      </w:r>
      <w:r>
        <w:rPr>
          <w:sz w:val="20"/>
          <w:szCs w:val="20"/>
        </w:rPr>
        <w:instrText>0</w:instrText>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b/>
          <w:bCs/>
          <w:sz w:val="24"/>
          <w:szCs w:val="24"/>
        </w:rPr>
        <w:instrText>MOC Statement(s)</w:instrText>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ABAHoursMax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58240" behindDoc="0" locked="1" layoutInCell="1" allowOverlap="1">
            <wp:simplePos x="0" y="0"/>
            <wp:positionH relativeFrom="column">
              <wp:posOffset>1905</wp:posOffset>
            </wp:positionH>
            <wp:positionV relativeFrom="paragraph">
              <wp:posOffset>14605</wp:posOffset>
            </wp:positionV>
            <wp:extent cx="1522095" cy="539115"/>
            <wp:effectExtent l="0" t="0" r="1905" b="0"/>
            <wp:wrapSquare wrapText="bothSides"/>
            <wp:docPr id="2084115252" name="Picture 2084115252" descr="MO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CA"/>
                    <pic:cNvPicPr/>
                  </pic:nvPicPr>
                  <pic:blipFill>
                    <a:blip xmlns:r="http://schemas.openxmlformats.org/officeDocument/2006/relationships" r:embed="rId4" cstate="hqprint">
                      <a:extLst>
                        <a:ext uri="{28A0092B-C50C-407E-A947-70E740481C1C}">
                          <a14:useLocalDpi xmlns:a14="http://schemas.microsoft.com/office/drawing/2010/main" val="0"/>
                        </a:ext>
                      </a:extLst>
                    </a:blip>
                    <a:stretch>
                      <a:fillRect/>
                    </a:stretch>
                  </pic:blipFill>
                  <pic:spPr>
                    <a:xfrm>
                      <a:off x="0" y="0"/>
                      <a:ext cx="1522095" cy="539115"/>
                    </a:xfrm>
                    <a:prstGeom prst="rect">
                      <a:avLst/>
                    </a:prstGeom>
                  </pic:spPr>
                </pic:pic>
              </a:graphicData>
            </a:graphic>
          </wp:anchor>
        </w:drawing>
      </w:r>
      <w:r w:rsidRPr="00830DFB">
        <w:rPr>
          <w:sz w:val="24"/>
          <w:szCs w:val="24"/>
        </w:rPr>
        <w:instrText xml:space="preserve">This activity </w:instrText>
      </w:r>
      <w:r w:rsidRPr="00830DFB">
        <w:rPr>
          <w:sz w:val="24"/>
          <w:szCs w:val="24"/>
        </w:rPr>
        <w:fldChar w:fldCharType="begin"/>
      </w:r>
      <w:r w:rsidRPr="00830DFB">
        <w:rPr>
          <w:sz w:val="24"/>
          <w:szCs w:val="24"/>
        </w:rPr>
        <w:instrText xml:space="preserve"> IF </w:instrText>
      </w:r>
      <w:r w:rsidRPr="00830DFB">
        <w:rPr>
          <w:sz w:val="24"/>
          <w:szCs w:val="24"/>
        </w:rPr>
        <w:fldChar w:fldCharType="begin"/>
      </w:r>
      <w:r w:rsidRPr="00830DFB">
        <w:rPr>
          <w:sz w:val="24"/>
          <w:szCs w:val="24"/>
        </w:rPr>
        <w:instrText xml:space="preserve"> MERGEFIELD ABAPSHoursMax </w:instrText>
      </w:r>
      <w:r w:rsidRPr="00830DFB">
        <w:rPr>
          <w:sz w:val="24"/>
          <w:szCs w:val="24"/>
        </w:rPr>
        <w:fldChar w:fldCharType="separate"/>
      </w:r>
      <w:r w:rsidRPr="00830DFB">
        <w:rPr>
          <w:sz w:val="24"/>
          <w:szCs w:val="24"/>
        </w:rPr>
        <w:fldChar w:fldCharType="end"/>
      </w:r>
      <w:r w:rsidRPr="00830DFB">
        <w:rPr>
          <w:sz w:val="24"/>
          <w:szCs w:val="24"/>
        </w:rPr>
        <w:instrText xml:space="preserve"> &gt; 0 "offers up to</w:instrText>
      </w:r>
      <w:r>
        <w:rPr>
          <w:sz w:val="24"/>
          <w:szCs w:val="24"/>
        </w:rPr>
        <w:instrText xml:space="preserve"> </w:instrText>
      </w:r>
      <w:r>
        <w:rPr>
          <w:sz w:val="24"/>
          <w:szCs w:val="24"/>
        </w:rPr>
        <w:fldChar w:fldCharType="begin"/>
      </w:r>
      <w:r>
        <w:rPr>
          <w:sz w:val="24"/>
          <w:szCs w:val="24"/>
        </w:rPr>
        <w:instrText xml:space="preserve"> MERGEFIELD ABAHoursMax \# 0.00# </w:instrText>
      </w:r>
      <w:r>
        <w:rPr>
          <w:sz w:val="24"/>
          <w:szCs w:val="24"/>
        </w:rPr>
        <w:fldChar w:fldCharType="separate"/>
      </w:r>
      <w:r>
        <w:rPr>
          <w:sz w:val="24"/>
          <w:szCs w:val="24"/>
        </w:rPr>
        <w:fldChar w:fldCharType="end"/>
      </w:r>
      <w:r w:rsidRPr="00830DFB">
        <w:rPr>
          <w:sz w:val="24"/>
          <w:szCs w:val="24"/>
        </w:rPr>
        <w:instrText xml:space="preserve"> CME credit</w:instrText>
      </w:r>
      <w:r>
        <w:rPr>
          <w:sz w:val="24"/>
          <w:szCs w:val="24"/>
        </w:rPr>
        <w:instrText>(</w:instrText>
      </w:r>
      <w:r w:rsidRPr="00830DFB">
        <w:rPr>
          <w:sz w:val="24"/>
          <w:szCs w:val="24"/>
        </w:rPr>
        <w:instrText>s</w:instrText>
      </w:r>
      <w:r>
        <w:rPr>
          <w:sz w:val="24"/>
          <w:szCs w:val="24"/>
        </w:rPr>
        <w:instrText>)</w:instrText>
      </w:r>
      <w:r w:rsidRPr="00830DFB">
        <w:rPr>
          <w:sz w:val="24"/>
          <w:szCs w:val="24"/>
        </w:rPr>
        <w:instrText xml:space="preserve">, of which </w:instrText>
      </w:r>
      <w:r>
        <w:rPr>
          <w:sz w:val="24"/>
          <w:szCs w:val="24"/>
        </w:rPr>
        <w:fldChar w:fldCharType="begin"/>
      </w:r>
      <w:r>
        <w:rPr>
          <w:sz w:val="24"/>
          <w:szCs w:val="24"/>
        </w:rPr>
        <w:instrText xml:space="preserve"> MERGEFIELD ABAPSHoursMax \# 0.00# </w:instrText>
      </w:r>
      <w:r>
        <w:rPr>
          <w:sz w:val="24"/>
          <w:szCs w:val="24"/>
        </w:rPr>
        <w:fldChar w:fldCharType="separate"/>
      </w:r>
      <w:r>
        <w:rPr>
          <w:sz w:val="24"/>
          <w:szCs w:val="24"/>
        </w:rPr>
        <w:fldChar w:fldCharType="end"/>
      </w:r>
      <w:r w:rsidRPr="00830DFB">
        <w:rPr>
          <w:sz w:val="24"/>
          <w:szCs w:val="24"/>
        </w:rPr>
        <w:instrText xml:space="preserve"> credit</w:instrText>
      </w:r>
      <w:r>
        <w:rPr>
          <w:sz w:val="24"/>
          <w:szCs w:val="24"/>
        </w:rPr>
        <w:instrText>(</w:instrText>
      </w:r>
      <w:r w:rsidRPr="00830DFB">
        <w:rPr>
          <w:sz w:val="24"/>
          <w:szCs w:val="24"/>
        </w:rPr>
        <w:instrText>s</w:instrText>
      </w:r>
      <w:r>
        <w:rPr>
          <w:sz w:val="24"/>
          <w:szCs w:val="24"/>
        </w:rPr>
        <w:instrText>)</w:instrText>
      </w:r>
      <w:r w:rsidRPr="00830DFB">
        <w:rPr>
          <w:sz w:val="24"/>
          <w:szCs w:val="24"/>
        </w:rPr>
        <w:instrText xml:space="preserve"> contribute the patient safety" "</w:instrText>
      </w:r>
      <w:r>
        <w:rPr>
          <w:sz w:val="24"/>
          <w:szCs w:val="24"/>
        </w:rPr>
        <w:instrText>contributes to the</w:instrText>
      </w:r>
      <w:r w:rsidRPr="00830DFB">
        <w:rPr>
          <w:sz w:val="24"/>
          <w:szCs w:val="24"/>
        </w:rPr>
        <w:instrText xml:space="preserve">" </w:instrText>
      </w:r>
      <w:r w:rsidRPr="00830DFB">
        <w:rPr>
          <w:sz w:val="24"/>
          <w:szCs w:val="24"/>
        </w:rPr>
        <w:fldChar w:fldCharType="separate"/>
      </w:r>
      <w:r w:rsidRPr="00830DFB">
        <w:rPr>
          <w:sz w:val="24"/>
          <w:szCs w:val="24"/>
        </w:rPr>
        <w:fldChar w:fldCharType="end"/>
      </w:r>
      <w:r>
        <w:rPr>
          <w:sz w:val="24"/>
          <w:szCs w:val="24"/>
        </w:rPr>
        <w:instrText xml:space="preserve"> CME </w:instrText>
      </w:r>
      <w:r>
        <w:rPr>
          <w:sz w:val="24"/>
          <w:szCs w:val="24"/>
        </w:rPr>
        <w:instrText xml:space="preserve">component </w:instrText>
      </w:r>
      <w:r w:rsidRPr="00554859">
        <w:rPr>
          <w:sz w:val="24"/>
          <w:szCs w:val="24"/>
        </w:rPr>
        <w:instrText>of the American Board of Anesthesiology’s redesigned Maintenance of Certification in Anesthesiology</w:instrText>
      </w:r>
      <w:r>
        <w:rPr>
          <w:rFonts w:cstheme="minorHAnsi"/>
          <w:sz w:val="24"/>
          <w:szCs w:val="24"/>
        </w:rPr>
        <w:instrText>™</w:instrText>
      </w:r>
      <w:r w:rsidRPr="00554859">
        <w:rPr>
          <w:sz w:val="24"/>
          <w:szCs w:val="24"/>
        </w:rPr>
        <w:instrText xml:space="preserve"> (MOCA®) program, known as MOCA 2.0®. Please consult the ABA website, </w:instrText>
      </w:r>
      <w:r>
        <w:fldChar w:fldCharType="begin"/>
      </w:r>
      <w:r>
        <w:instrText xml:space="preserve"> HYPERLINK "https://www.theaba.org/" </w:instrText>
      </w:r>
      <w:r>
        <w:fldChar w:fldCharType="separate"/>
      </w:r>
      <w:r w:rsidRPr="00554859">
        <w:rPr>
          <w:rStyle w:val="Hyperlink"/>
          <w:sz w:val="24"/>
          <w:szCs w:val="24"/>
        </w:rPr>
        <w:instrText>https://www.theaba.org/</w:instrText>
      </w:r>
      <w:r>
        <w:fldChar w:fldCharType="end"/>
      </w:r>
      <w:r w:rsidRPr="00554859">
        <w:rPr>
          <w:sz w:val="24"/>
          <w:szCs w:val="24"/>
        </w:rPr>
        <w:instrText>, for a list of all MOCA 2.0 requirements.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ABSHoursMax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62336" behindDoc="0" locked="1" layoutInCell="1" allowOverlap="1">
            <wp:simplePos x="0" y="0"/>
            <wp:positionH relativeFrom="column">
              <wp:posOffset>0</wp:posOffset>
            </wp:positionH>
            <wp:positionV relativeFrom="paragraph">
              <wp:posOffset>39370</wp:posOffset>
            </wp:positionV>
            <wp:extent cx="1522095" cy="492760"/>
            <wp:effectExtent l="0" t="0" r="1905" b="2540"/>
            <wp:wrapSquare wrapText="bothSides"/>
            <wp:docPr id="128631735" name="Picture 128631735"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31735" name="Picture 128631735" descr="A close-up of a sign&#10;&#10;AI-generated content may be incorrect."/>
                    <pic:cNvPicPr/>
                  </pic:nvPicPr>
                  <pic:blipFill>
                    <a:blip xmlns:r="http://schemas.openxmlformats.org/officeDocument/2006/relationships" r:embed="rId5" cstate="hqprint">
                      <a:extLst>
                        <a:ext uri="{28A0092B-C50C-407E-A947-70E740481C1C}">
                          <a14:useLocalDpi xmlns:a14="http://schemas.microsoft.com/office/drawing/2010/main" val="0"/>
                        </a:ext>
                      </a:extLst>
                    </a:blip>
                    <a:stretch>
                      <a:fillRect/>
                    </a:stretch>
                  </pic:blipFill>
                  <pic:spPr>
                    <a:xfrm>
                      <a:off x="0" y="0"/>
                      <a:ext cx="1522095" cy="492760"/>
                    </a:xfrm>
                    <a:prstGeom prst="rect">
                      <a:avLst/>
                    </a:prstGeom>
                  </pic:spPr>
                </pic:pic>
              </a:graphicData>
            </a:graphic>
          </wp:anchor>
        </w:drawing>
      </w:r>
      <w:r w:rsidRPr="002844AD">
        <w:rPr>
          <w:noProof/>
          <w:sz w:val="24"/>
          <w:szCs w:val="24"/>
        </w:rPr>
        <w:instrText>Successful completion of this CME activity</w:instrText>
      </w:r>
      <w:r w:rsidRPr="00830DFB">
        <w:rPr>
          <w:sz w:val="24"/>
          <w:szCs w:val="24"/>
        </w:rPr>
        <w:instrText xml:space="preserve"> </w:instrText>
      </w:r>
      <w:r w:rsidRPr="00830DFB">
        <w:rPr>
          <w:sz w:val="24"/>
          <w:szCs w:val="24"/>
        </w:rPr>
        <w:fldChar w:fldCharType="begin"/>
      </w:r>
      <w:r w:rsidRPr="00830DFB">
        <w:rPr>
          <w:sz w:val="24"/>
          <w:szCs w:val="24"/>
        </w:rPr>
        <w:instrText xml:space="preserve"> IF </w:instrText>
      </w:r>
      <w:r w:rsidRPr="00830DFB">
        <w:rPr>
          <w:sz w:val="24"/>
          <w:szCs w:val="24"/>
        </w:rPr>
        <w:fldChar w:fldCharType="begin"/>
      </w:r>
      <w:r w:rsidRPr="00830DFB">
        <w:rPr>
          <w:sz w:val="24"/>
          <w:szCs w:val="24"/>
        </w:rPr>
        <w:instrText xml:space="preserve"> MERGEFIELD A</w:instrText>
      </w:r>
      <w:r>
        <w:rPr>
          <w:sz w:val="24"/>
          <w:szCs w:val="24"/>
        </w:rPr>
        <w:instrText>BSCCSAM</w:instrText>
      </w:r>
      <w:r w:rsidRPr="00830DFB">
        <w:rPr>
          <w:sz w:val="24"/>
          <w:szCs w:val="24"/>
        </w:rPr>
        <w:instrText xml:space="preserve">Max </w:instrText>
      </w:r>
      <w:r w:rsidRPr="00830DFB">
        <w:rPr>
          <w:sz w:val="24"/>
          <w:szCs w:val="24"/>
        </w:rPr>
        <w:fldChar w:fldCharType="separate"/>
      </w:r>
      <w:r w:rsidRPr="00830DFB">
        <w:rPr>
          <w:sz w:val="24"/>
          <w:szCs w:val="24"/>
        </w:rPr>
        <w:fldChar w:fldCharType="end"/>
      </w:r>
      <w:r w:rsidRPr="00830DFB">
        <w:rPr>
          <w:sz w:val="24"/>
          <w:szCs w:val="24"/>
        </w:rPr>
        <w:instrText xml:space="preserve"> &gt; 0 "</w:instrText>
      </w:r>
      <w:r w:rsidRPr="002844AD">
        <w:rPr>
          <w:sz w:val="24"/>
          <w:szCs w:val="24"/>
        </w:rPr>
        <w:instrText>, which includes participation in the evaluation component, enables the learner to earn credit toward the CME and Self-Assessment</w:instrText>
      </w:r>
      <w:r w:rsidRPr="00830DFB">
        <w:rPr>
          <w:sz w:val="24"/>
          <w:szCs w:val="24"/>
        </w:rPr>
        <w:instrText>" "</w:instrText>
      </w:r>
      <w:r>
        <w:rPr>
          <w:sz w:val="24"/>
          <w:szCs w:val="24"/>
        </w:rPr>
        <w:instrText>,</w:instrText>
      </w:r>
      <w:r w:rsidRPr="002844AD">
        <w:rPr>
          <w:sz w:val="24"/>
          <w:szCs w:val="24"/>
        </w:rPr>
        <w:instrText>enables the learner to earn credit toward the CME</w:instrText>
      </w:r>
      <w:r w:rsidRPr="00830DFB">
        <w:rPr>
          <w:sz w:val="24"/>
          <w:szCs w:val="24"/>
        </w:rPr>
        <w:instrText xml:space="preserve">" </w:instrText>
      </w:r>
      <w:r w:rsidRPr="00830DFB">
        <w:rPr>
          <w:sz w:val="24"/>
          <w:szCs w:val="24"/>
        </w:rPr>
        <w:fldChar w:fldCharType="separate"/>
      </w:r>
      <w:r w:rsidRPr="00830DFB">
        <w:rPr>
          <w:sz w:val="24"/>
          <w:szCs w:val="24"/>
        </w:rPr>
        <w:fldChar w:fldCharType="end"/>
      </w:r>
      <w:r>
        <w:rPr>
          <w:sz w:val="24"/>
          <w:szCs w:val="24"/>
        </w:rPr>
        <w:instrText xml:space="preserve"> </w:instrText>
      </w:r>
      <w:r w:rsidRPr="002844AD">
        <w:rPr>
          <w:sz w:val="24"/>
          <w:szCs w:val="24"/>
        </w:rPr>
        <w:instrText>requirement(s) of the American Board of Surgery’s Continuous Certification program. It is the CME activity provider's responsibility to submit learner completion information to ACCME for the purpose of granting ABS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fldChar w:fldCharType="begin"/>
      </w:r>
      <w:r>
        <w:rPr>
          <w:sz w:val="20"/>
          <w:szCs w:val="20"/>
        </w:rPr>
        <w:instrText xml:space="preserve"> MERGEFIELD ABIM2HoursMax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ABIM4HoursMax </w:instrText>
      </w:r>
      <w:r>
        <w:rPr>
          <w:sz w:val="20"/>
          <w:szCs w:val="20"/>
        </w:rPr>
        <w:fldChar w:fldCharType="separate"/>
      </w:r>
      <w:r>
        <w:rPr>
          <w:sz w:val="20"/>
          <w:szCs w:val="20"/>
        </w:rPr>
        <w:fldChar w:fldCharType="end"/>
      </w:r>
      <w:r>
        <w:rPr>
          <w:sz w:val="20"/>
          <w:szCs w:val="20"/>
        </w:rPr>
        <w:instrText xml:space="preserve">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59264" behindDoc="0" locked="1" layoutInCell="1" allowOverlap="1">
            <wp:simplePos x="0" y="0"/>
            <wp:positionH relativeFrom="column">
              <wp:posOffset>1905</wp:posOffset>
            </wp:positionH>
            <wp:positionV relativeFrom="paragraph">
              <wp:posOffset>4445</wp:posOffset>
            </wp:positionV>
            <wp:extent cx="1501140" cy="507365"/>
            <wp:effectExtent l="0" t="0" r="3810" b="6985"/>
            <wp:wrapSquare wrapText="bothSides"/>
            <wp:docPr id="3" name="Picture 3" descr="ABIM&#10;CME&#10;MOC&#10;Accred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BIM&#10;CME&#10;MOC&#10;Accredited"/>
                    <pic:cNvPicPr/>
                  </pic:nvPicPr>
                  <pic:blipFill>
                    <a:blip xmlns:r="http://schemas.openxmlformats.org/officeDocument/2006/relationships" r:embed="rId6" cstate="hqprint">
                      <a:extLst>
                        <a:ext uri="{28A0092B-C50C-407E-A947-70E740481C1C}">
                          <a14:useLocalDpi xmlns:a14="http://schemas.microsoft.com/office/drawing/2010/main" val="0"/>
                        </a:ext>
                      </a:extLst>
                    </a:blip>
                    <a:stretch>
                      <a:fillRect/>
                    </a:stretch>
                  </pic:blipFill>
                  <pic:spPr>
                    <a:xfrm>
                      <a:off x="0" y="0"/>
                      <a:ext cx="1501140" cy="507365"/>
                    </a:xfrm>
                    <a:prstGeom prst="rect">
                      <a:avLst/>
                    </a:prstGeom>
                  </pic:spPr>
                </pic:pic>
              </a:graphicData>
            </a:graphic>
          </wp:anchor>
        </w:drawing>
      </w:r>
      <w:r w:rsidRPr="00092945">
        <w:rPr>
          <w:sz w:val="24"/>
          <w:szCs w:val="24"/>
        </w:rPr>
        <w:instrText xml:space="preserve">Successful completion of this CME activity, which includes participation in the evaluation component, enables the participant to earn up to </w:instrText>
      </w:r>
      <w:r>
        <w:rPr>
          <w:sz w:val="24"/>
          <w:szCs w:val="24"/>
        </w:rPr>
        <w:fldChar w:fldCharType="begin"/>
      </w:r>
      <w:r>
        <w:rPr>
          <w:sz w:val="24"/>
          <w:szCs w:val="24"/>
        </w:rPr>
        <w:instrText xml:space="preserve"> IF </w:instrText>
      </w:r>
      <w:r>
        <w:rPr>
          <w:sz w:val="24"/>
          <w:szCs w:val="24"/>
        </w:rPr>
        <w:fldChar w:fldCharType="begin"/>
      </w:r>
      <w:r>
        <w:rPr>
          <w:sz w:val="24"/>
          <w:szCs w:val="24"/>
        </w:rPr>
        <w:instrText xml:space="preserve"> MERGEFIELD ABIM2HoursMax </w:instrText>
      </w:r>
      <w:r>
        <w:rPr>
          <w:sz w:val="24"/>
          <w:szCs w:val="24"/>
        </w:rPr>
        <w:fldChar w:fldCharType="separate"/>
      </w:r>
      <w:r>
        <w:rPr>
          <w:sz w:val="24"/>
          <w:szCs w:val="24"/>
        </w:rPr>
        <w:fldChar w:fldCharType="end"/>
      </w:r>
      <w:r>
        <w:rPr>
          <w:sz w:val="24"/>
          <w:szCs w:val="24"/>
        </w:rPr>
        <w:instrText xml:space="preserve"> &gt; 0 "</w:instrText>
      </w:r>
      <w:r>
        <w:rPr>
          <w:sz w:val="24"/>
          <w:szCs w:val="24"/>
        </w:rPr>
        <w:fldChar w:fldCharType="begin"/>
      </w:r>
      <w:r>
        <w:rPr>
          <w:sz w:val="24"/>
          <w:szCs w:val="24"/>
        </w:rPr>
        <w:instrText xml:space="preserve"> MERGEFIELD ABIM2HoursMax \# 0.00# </w:instrText>
      </w:r>
      <w:r>
        <w:rPr>
          <w:sz w:val="24"/>
          <w:szCs w:val="24"/>
        </w:rPr>
        <w:fldChar w:fldCharType="separate"/>
      </w:r>
      <w:r>
        <w:rPr>
          <w:sz w:val="24"/>
          <w:szCs w:val="24"/>
        </w:rPr>
        <w:fldChar w:fldCharType="end"/>
      </w:r>
      <w:r>
        <w:rPr>
          <w:sz w:val="24"/>
          <w:szCs w:val="24"/>
        </w:rPr>
        <w:instrText>" "</w:instrText>
      </w:r>
      <w:r>
        <w:rPr>
          <w:sz w:val="24"/>
          <w:szCs w:val="24"/>
        </w:rPr>
        <w:fldChar w:fldCharType="begin"/>
      </w:r>
      <w:r>
        <w:rPr>
          <w:sz w:val="24"/>
          <w:szCs w:val="24"/>
        </w:rPr>
        <w:instrText xml:space="preserve"> MERGEFIELD ABIM4HoursMax \# 0.00# </w:instrText>
      </w:r>
      <w:r>
        <w:rPr>
          <w:sz w:val="24"/>
          <w:szCs w:val="24"/>
        </w:rPr>
        <w:fldChar w:fldCharType="separate"/>
      </w:r>
      <w:r>
        <w:rPr>
          <w:sz w:val="24"/>
          <w:szCs w:val="24"/>
        </w:rPr>
        <w:fldChar w:fldCharType="end"/>
      </w:r>
      <w:r>
        <w:rPr>
          <w:sz w:val="24"/>
          <w:szCs w:val="24"/>
        </w:rPr>
        <w:instrText xml:space="preserve">" </w:instrText>
      </w:r>
      <w:r>
        <w:rPr>
          <w:sz w:val="24"/>
          <w:szCs w:val="24"/>
        </w:rPr>
        <w:fldChar w:fldCharType="separate"/>
      </w:r>
      <w:r>
        <w:rPr>
          <w:sz w:val="24"/>
          <w:szCs w:val="24"/>
        </w:rPr>
        <w:fldChar w:fldCharType="end"/>
      </w:r>
      <w:r w:rsidRPr="00092945">
        <w:rPr>
          <w:sz w:val="24"/>
          <w:szCs w:val="24"/>
        </w:rPr>
        <w:instrText xml:space="preserve"> MOC point</w:instrText>
      </w:r>
      <w:r>
        <w:rPr>
          <w:sz w:val="24"/>
          <w:szCs w:val="24"/>
        </w:rPr>
        <w:instrText xml:space="preserve">(s) </w:instrText>
      </w:r>
      <w:r>
        <w:rPr>
          <w:sz w:val="24"/>
          <w:szCs w:val="24"/>
        </w:rPr>
        <w:fldChar w:fldCharType="begin"/>
      </w:r>
      <w:r>
        <w:rPr>
          <w:sz w:val="24"/>
          <w:szCs w:val="24"/>
        </w:rPr>
        <w:instrText xml:space="preserve"> IF </w:instrText>
      </w:r>
      <w:r>
        <w:rPr>
          <w:sz w:val="24"/>
          <w:szCs w:val="24"/>
        </w:rPr>
        <w:fldChar w:fldCharType="begin"/>
      </w:r>
      <w:r>
        <w:rPr>
          <w:sz w:val="24"/>
          <w:szCs w:val="24"/>
        </w:rPr>
        <w:instrText xml:space="preserve"> MERGEFIELD ABIMPSHoursMax </w:instrText>
      </w:r>
      <w:r>
        <w:rPr>
          <w:sz w:val="24"/>
          <w:szCs w:val="24"/>
        </w:rPr>
        <w:fldChar w:fldCharType="separate"/>
      </w:r>
      <w:r>
        <w:rPr>
          <w:sz w:val="24"/>
          <w:szCs w:val="24"/>
        </w:rPr>
        <w:fldChar w:fldCharType="end"/>
      </w:r>
      <w:r>
        <w:rPr>
          <w:sz w:val="24"/>
          <w:szCs w:val="24"/>
        </w:rPr>
        <w:instrText xml:space="preserve"> &gt; 0 "and patient safety MOC credit" "" </w:instrText>
      </w:r>
      <w:r>
        <w:rPr>
          <w:sz w:val="24"/>
          <w:szCs w:val="24"/>
        </w:rPr>
        <w:fldChar w:fldCharType="separate"/>
      </w:r>
      <w:r>
        <w:rPr>
          <w:sz w:val="24"/>
          <w:szCs w:val="24"/>
        </w:rPr>
        <w:fldChar w:fldCharType="end"/>
      </w:r>
      <w:r w:rsidRPr="00092945">
        <w:instrText xml:space="preserve"> </w:instrText>
      </w:r>
      <w:r w:rsidRPr="00092945">
        <w:rPr>
          <w:sz w:val="24"/>
          <w:szCs w:val="24"/>
        </w:rPr>
        <w:instrText>in the American Board of Internal Medicine’s (ABIM) Maintenance of Certification (MOC) program. It is the CME activity provider’s responsibility to submit participant completion information to ACCME for the purpose of granting ABIM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ABOHNSHoursMax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sidRPr="00E010EA">
        <w:rPr>
          <w:sz w:val="24"/>
          <w:szCs w:val="24"/>
        </w:rPr>
        <w:instrText xml:space="preserve">Successful completion of this CME activity, which includes participation in the evaluation component, enables the participant to earn their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Pr>
          <w:sz w:val="20"/>
          <w:szCs w:val="20"/>
        </w:rPr>
        <w:instrText xml:space="preserve">""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ABPathHoursMax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60288" behindDoc="0" locked="1" layoutInCell="1" allowOverlap="1">
            <wp:simplePos x="0" y="0"/>
            <wp:positionH relativeFrom="column">
              <wp:posOffset>1905</wp:posOffset>
            </wp:positionH>
            <wp:positionV relativeFrom="paragraph">
              <wp:posOffset>25400</wp:posOffset>
            </wp:positionV>
            <wp:extent cx="1115060" cy="685800"/>
            <wp:effectExtent l="0" t="0" r="8890" b="0"/>
            <wp:wrapSquare wrapText="bothSides"/>
            <wp:docPr id="5" name="Picture 5" descr="CME for&#10;ABPath 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ME for&#10;ABPath CC"/>
                    <pic:cNvPicPr/>
                  </pic:nvPicPr>
                  <pic:blipFill rotWithShape="1">
                    <a:blip xmlns:r="http://schemas.openxmlformats.org/officeDocument/2006/relationships" r:embed="rId7" cstate="hqprint">
                      <a:extLst>
                        <a:ext uri="{28A0092B-C50C-407E-A947-70E740481C1C}">
                          <a14:useLocalDpi xmlns:a14="http://schemas.microsoft.com/office/drawing/2010/main" val="0"/>
                        </a:ext>
                      </a:extLst>
                    </a:blip>
                    <a:srcRect b="30172"/>
                    <a:stretch/>
                  </pic:blipFill>
                  <pic:spPr bwMode="auto">
                    <a:xfrm>
                      <a:off x="0" y="0"/>
                      <a:ext cx="1115060" cy="685800"/>
                    </a:xfrm>
                    <a:prstGeom prst="rect">
                      <a:avLst/>
                    </a:prstGeom>
                    <a:ln>
                      <a:noFill/>
                    </a:ln>
                    <a:extLst>
                      <a:ext uri="{53640926-AAD7-44D8-BBD7-CCE9431645EC}">
                        <a14:shadowObscured xmlns:a14="http://schemas.microsoft.com/office/drawing/2010/main"/>
                      </a:ext>
                    </a:extLst>
                  </pic:spPr>
                </pic:pic>
              </a:graphicData>
            </a:graphic>
          </wp:anchor>
        </w:drawing>
      </w:r>
      <w:r w:rsidRPr="00E010EA">
        <w:rPr>
          <w:sz w:val="24"/>
          <w:szCs w:val="24"/>
        </w:rPr>
        <w:instrText xml:space="preserve">This activity has been registered for American Board of Pathology’s Continuing Certification program. Successful completion of this CME activity, which includes participation in the evaluation component, enables the participant to earn up to </w:instrText>
      </w:r>
      <w:r>
        <w:rPr>
          <w:sz w:val="24"/>
          <w:szCs w:val="24"/>
        </w:rPr>
        <w:fldChar w:fldCharType="begin"/>
      </w:r>
      <w:r>
        <w:rPr>
          <w:sz w:val="24"/>
          <w:szCs w:val="24"/>
        </w:rPr>
        <w:instrText xml:space="preserve"> MERGEFIELD ABPathHoursMax \# 0.00# </w:instrText>
      </w:r>
      <w:r>
        <w:rPr>
          <w:sz w:val="24"/>
          <w:szCs w:val="24"/>
        </w:rPr>
        <w:fldChar w:fldCharType="separate"/>
      </w:r>
      <w:r>
        <w:rPr>
          <w:sz w:val="24"/>
          <w:szCs w:val="24"/>
        </w:rPr>
        <w:fldChar w:fldCharType="end"/>
      </w:r>
      <w:r w:rsidRPr="00E010EA">
        <w:rPr>
          <w:sz w:val="24"/>
          <w:szCs w:val="24"/>
        </w:rPr>
        <w:instrText xml:space="preserve"> Lifelong Learning (CME) MOC point</w:instrText>
      </w:r>
      <w:r>
        <w:rPr>
          <w:sz w:val="24"/>
          <w:szCs w:val="24"/>
        </w:rPr>
        <w:instrText>(</w:instrText>
      </w:r>
      <w:r w:rsidRPr="00E010EA">
        <w:rPr>
          <w:sz w:val="24"/>
          <w:szCs w:val="24"/>
        </w:rPr>
        <w:instrText>s</w:instrText>
      </w:r>
      <w:r>
        <w:rPr>
          <w:sz w:val="24"/>
          <w:szCs w:val="24"/>
        </w:rPr>
        <w:instrText>)</w:instrText>
      </w:r>
      <w:r w:rsidRPr="00E010EA">
        <w:rPr>
          <w:sz w:val="24"/>
          <w:szCs w:val="24"/>
        </w:rPr>
        <w:instrText xml:space="preserve"> in the American Board of Pathology’s Continuing Certification program. It is the CME activity provider’s responsibility to submit participant completion information to ACCME for the purpose of granting ABPath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61312" behindDoc="0" locked="1" layoutInCell="1" allowOverlap="1">
            <wp:simplePos x="0" y="0"/>
            <wp:positionH relativeFrom="column">
              <wp:posOffset>1905</wp:posOffset>
            </wp:positionH>
            <wp:positionV relativeFrom="paragraph">
              <wp:posOffset>4445</wp:posOffset>
            </wp:positionV>
            <wp:extent cx="1005840" cy="830580"/>
            <wp:effectExtent l="0" t="0" r="3810" b="7620"/>
            <wp:wrapSquare wrapText="bothSides"/>
            <wp:docPr id="10" name="Picture 10" descr="Part 2&#10;MOC&#10;The American Board of Pedia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art 2&#10;MOC&#10;The American Board of Pediatrics"/>
                    <pic:cNvPicPr/>
                  </pic:nvPicPr>
                  <pic:blipFill rotWithShape="1">
                    <a:blip xmlns:r="http://schemas.openxmlformats.org/officeDocument/2006/relationships" r:embed="rId8">
                      <a:extLst>
                        <a:ext uri="{28A0092B-C50C-407E-A947-70E740481C1C}">
                          <a14:useLocalDpi xmlns:a14="http://schemas.microsoft.com/office/drawing/2010/main" val="0"/>
                        </a:ext>
                      </a:extLst>
                    </a:blip>
                    <a:srcRect t="8755" b="8604"/>
                    <a:stretch/>
                  </pic:blipFill>
                  <pic:spPr bwMode="auto">
                    <a:xfrm>
                      <a:off x="0" y="0"/>
                      <a:ext cx="1005840" cy="830580"/>
                    </a:xfrm>
                    <a:prstGeom prst="rect">
                      <a:avLst/>
                    </a:prstGeom>
                    <a:ln>
                      <a:noFill/>
                    </a:ln>
                    <a:extLst>
                      <a:ext uri="{53640926-AAD7-44D8-BBD7-CCE9431645EC}">
                        <a14:shadowObscured xmlns:a14="http://schemas.microsoft.com/office/drawing/2010/main"/>
                      </a:ext>
                    </a:extLst>
                  </pic:spPr>
                </pic:pic>
              </a:graphicData>
            </a:graphic>
          </wp:anchor>
        </w:drawing>
      </w:r>
      <w:r w:rsidRPr="00E010EA">
        <w:rPr>
          <w:sz w:val="24"/>
          <w:szCs w:val="24"/>
        </w:rPr>
        <w:instrText xml:space="preserve">Successful completion of this CME activity, which includes participation in the evaluation component, enables the learner to earn up to </w:instrText>
      </w:r>
      <w:r>
        <w:rPr>
          <w:sz w:val="24"/>
          <w:szCs w:val="24"/>
        </w:rPr>
        <w:fldChar w:fldCharType="begin"/>
      </w:r>
      <w:r>
        <w:rPr>
          <w:sz w:val="24"/>
          <w:szCs w:val="24"/>
        </w:rPr>
        <w:instrText xml:space="preserve"> MERGEFIELD ABPHoursMax \# 0.00# </w:instrText>
      </w:r>
      <w:r>
        <w:rPr>
          <w:sz w:val="24"/>
          <w:szCs w:val="24"/>
        </w:rPr>
        <w:fldChar w:fldCharType="separate"/>
      </w:r>
      <w:r>
        <w:rPr>
          <w:sz w:val="24"/>
          <w:szCs w:val="24"/>
        </w:rPr>
        <w:fldChar w:fldCharType="end"/>
      </w:r>
      <w:r w:rsidRPr="00E010EA">
        <w:rPr>
          <w:sz w:val="24"/>
          <w:szCs w:val="24"/>
        </w:rPr>
        <w:instrText xml:space="preserve"> MOC point</w:instrText>
      </w:r>
      <w:r>
        <w:rPr>
          <w:sz w:val="24"/>
          <w:szCs w:val="24"/>
        </w:rPr>
        <w:instrText>(</w:instrText>
      </w:r>
      <w:r w:rsidRPr="00E010EA">
        <w:rPr>
          <w:sz w:val="24"/>
          <w:szCs w:val="24"/>
        </w:rPr>
        <w:instrText>s</w:instrText>
      </w:r>
      <w:r>
        <w:rPr>
          <w:sz w:val="24"/>
          <w:szCs w:val="24"/>
        </w:rPr>
        <w:instrText>)</w:instrText>
      </w:r>
      <w:r w:rsidRPr="00E010EA">
        <w:rPr>
          <w:sz w:val="24"/>
          <w:szCs w:val="24"/>
        </w:rPr>
        <w:instrText xml:space="preserve"> in the American Board of Pediatrics’ (ABP) Maintenance of Certification (MOC) program. It is the CME activity provider’s responsibility to submit learner completion information to ACCME for the purpose of granting ABP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fldChar w:fldCharType="begin"/>
      </w:r>
      <w:r>
        <w:rPr>
          <w:sz w:val="20"/>
          <w:szCs w:val="20"/>
        </w:rPr>
        <w:instrText xml:space="preserve"> MERGEFIELD ABFMHoursMax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ABPMHoursMax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ABPMRHoursMax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ABPNHoursMax </w:instrText>
      </w:r>
      <w:r>
        <w:rPr>
          <w:sz w:val="20"/>
          <w:szCs w:val="20"/>
        </w:rPr>
        <w:fldChar w:fldCharType="separate"/>
      </w:r>
      <w:r>
        <w:rPr>
          <w:sz w:val="20"/>
          <w:szCs w:val="20"/>
        </w:rPr>
        <w:fldChar w:fldCharType="end"/>
      </w:r>
      <w:r>
        <w:rPr>
          <w:sz w:val="20"/>
          <w:szCs w:val="20"/>
        </w:rPr>
        <w:instrText xml:space="preserve">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4"/>
          <w:szCs w:val="24"/>
        </w:rPr>
      </w:pPr>
      <w:r w:rsidRPr="000063DA">
        <w:rPr>
          <w:sz w:val="24"/>
          <w:szCs w:val="24"/>
        </w:rPr>
        <w:instrText>Through the American Board of Medical Specialties (“ABMS”) ongoing commitment to increase access to practice relevant Continuing Certification Activities through the</w:instrText>
      </w:r>
      <w:r>
        <w:rPr>
          <w:sz w:val="24"/>
          <w:szCs w:val="24"/>
        </w:rPr>
        <w:instrText xml:space="preserve"> </w:instrText>
      </w:r>
      <w:r>
        <w:fldChar w:fldCharType="begin"/>
      </w:r>
      <w:r>
        <w:instrText xml:space="preserve"> HYPERLINK "https://www.continuingcertification.org/" </w:instrText>
      </w:r>
      <w:r>
        <w:fldChar w:fldCharType="separate"/>
      </w:r>
      <w:r w:rsidRPr="000063DA">
        <w:rPr>
          <w:rStyle w:val="Hyperlink"/>
          <w:sz w:val="24"/>
          <w:szCs w:val="24"/>
        </w:rPr>
        <w:instrText>ABMS Continuing Certification Directory</w:instrText>
      </w:r>
      <w:r>
        <w:fldChar w:fldCharType="end"/>
      </w:r>
      <w:r>
        <w:rPr>
          <w:sz w:val="24"/>
          <w:szCs w:val="24"/>
        </w:rPr>
        <w:instrText xml:space="preserve">, this activity </w:instrText>
      </w:r>
      <w:r w:rsidRPr="000063DA">
        <w:rPr>
          <w:sz w:val="24"/>
          <w:szCs w:val="24"/>
        </w:rPr>
        <w:instrText xml:space="preserve">has met the requirements as a </w:instrText>
      </w:r>
      <w:r w:rsidRPr="000063DA">
        <w:rPr>
          <w:b/>
          <w:bCs/>
          <w:sz w:val="24"/>
          <w:szCs w:val="24"/>
        </w:rPr>
        <w:instrText xml:space="preserve">Lifelong Learning CME Activity </w:instrText>
      </w:r>
      <w:r w:rsidRPr="000063DA">
        <w:rPr>
          <w:sz w:val="24"/>
          <w:szCs w:val="24"/>
        </w:rPr>
        <w:instrText>(apply toward general CME requirement) for the following ABMS Member Boards:</w:instrText>
      </w:r>
    </w:p>
    <w:p w:rsidR="00B74E46" w:rsidP="00B74E46">
      <w:pPr>
        <w:spacing w:after="0" w:line="240" w:lineRule="auto"/>
        <w:contextualSpacing/>
        <w:rPr>
          <w:sz w:val="20"/>
          <w:szCs w:val="20"/>
        </w:rPr>
      </w:pP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ABFMHoursMax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r>
        <w:rPr>
          <w:sz w:val="24"/>
          <w:szCs w:val="24"/>
        </w:rPr>
        <w:instrText xml:space="preserve">ABFM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ABFMHoursMax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ABPMHoursMax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r>
        <w:rPr>
          <w:sz w:val="24"/>
          <w:szCs w:val="24"/>
        </w:rPr>
        <w:instrText xml:space="preserve">ABPM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ABPMHoursMax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ABPMRHoursMax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r>
        <w:rPr>
          <w:sz w:val="24"/>
          <w:szCs w:val="24"/>
        </w:rPr>
        <w:instrText xml:space="preserve">ABPMR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ABPMRHoursMax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ABPNHoursMax </w:instrText>
      </w:r>
      <w:r>
        <w:rPr>
          <w:sz w:val="20"/>
          <w:szCs w:val="20"/>
        </w:rPr>
        <w:fldChar w:fldCharType="separate"/>
      </w:r>
      <w:r>
        <w:rPr>
          <w:sz w:val="20"/>
          <w:szCs w:val="20"/>
        </w:rPr>
        <w:fldChar w:fldCharType="end"/>
      </w:r>
      <w:r>
        <w:rPr>
          <w:sz w:val="20"/>
          <w:szCs w:val="20"/>
        </w:rPr>
        <w:instrText xml:space="preserve"> &gt; 0 "</w:instrText>
      </w:r>
    </w:p>
    <w:p w:rsidR="00B74E46" w:rsidRPr="000063DA" w:rsidP="00B74E46">
      <w:pPr>
        <w:spacing w:after="0" w:line="240" w:lineRule="auto"/>
        <w:contextualSpacing/>
        <w:rPr>
          <w:sz w:val="24"/>
          <w:szCs w:val="24"/>
        </w:rPr>
      </w:pPr>
      <w:r>
        <w:rPr>
          <w:sz w:val="24"/>
          <w:szCs w:val="24"/>
        </w:rPr>
        <w:instrText xml:space="preserve">ABPN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ABPNHoursMax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separate"/>
      </w:r>
      <w:r>
        <w:rPr>
          <w:sz w:val="20"/>
          <w:szCs w:val="20"/>
        </w:rPr>
        <w:fldChar w:fldCharType="end"/>
      </w:r>
    </w:p>
    <w:p w:rsidR="004F716E" w:rsidP="00B74E46">
      <w:pPr>
        <w:spacing w:after="0" w:line="240" w:lineRule="auto"/>
        <w:contextualSpacing/>
        <w:rPr>
          <w:sz w:val="20"/>
          <w:szCs w:val="20"/>
        </w:rPr>
      </w:pPr>
    </w:p>
    <w:p w:rsidR="001420EC" w:rsidP="004F716E">
      <w:pPr>
        <w:spacing w:after="0" w:line="240" w:lineRule="auto"/>
        <w:contextualSpacing/>
        <w:rPr>
          <w:sz w:val="24"/>
          <w:szCs w:val="24"/>
        </w:rPr>
      </w:pPr>
      <w:r>
        <w:rPr>
          <w:b/>
          <w:bCs/>
          <w:sz w:val="24"/>
          <w:szCs w:val="24"/>
        </w:rPr>
        <w:t>Faculty &amp; Planner</w:t>
      </w:r>
      <w:r>
        <w:rPr>
          <w:b/>
          <w:bCs/>
          <w:sz w:val="24"/>
          <w:szCs w:val="24"/>
        </w:rPr>
        <w:t xml:space="preserve"> Disclosures</w:t>
      </w:r>
    </w:p>
    <w:p w:rsidR="001420EC" w:rsidP="004F716E">
      <w:pPr>
        <w:spacing w:after="0" w:line="240" w:lineRule="auto"/>
        <w:contextualSpacing/>
        <w:rPr>
          <w:sz w:val="24"/>
          <w:szCs w:val="24"/>
        </w:rPr>
      </w:pPr>
      <w:r w:rsidRPr="001420EC">
        <w:rPr>
          <w:sz w:val="24"/>
          <w:szCs w:val="24"/>
        </w:rPr>
        <w:t>University of California, Irvine School of Medicine Continuing Medical Education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1420EC" w:rsidRPr="001420EC" w:rsidP="004F716E">
      <w:pPr>
        <w:spacing w:after="0" w:line="240" w:lineRule="auto"/>
        <w:contextualSpacing/>
        <w:rPr>
          <w:sz w:val="20"/>
          <w:szCs w:val="20"/>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13"/>
        <w:gridCol w:w="3213"/>
        <w:gridCol w:w="428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Kaitlin Batley,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Advisor-Dyne (Relationship has ended)|Advisor-Solid (Relationship has ended)|Advisor-BridgeBio (Relationship has ended)|Advisor-Applied Therapeutics (Relationship has ended)|Advisor-Biogen (Relationship has ended)|Advisor-Catalyst Pharmaceuticals (Relationship has ended)|Advisor-ITF Therapeutics (Relationship has ended)|Advisor-Sarepta Therapeutics (Relationship has ended)|Advisor-Scholar Rock (Relationship has ended)|Advisor-UCB, Inc (Relationship has ended)|Advisor-Regenxbio (Relationship has ended)|Advisor-Novartis Corporation Pharmaceuticals (Relationship has ended)|Advisor-Johnson &amp; Johnson (Relationship has ended)|Independent Contractor (included contracted research)-Catalyst Pharmaceuticals|Independent Contractor (included contracted research)-Scholar Rock|Independent Contractor (included contracted research)-Amicus|Independent Contractor (included contracted research)-Genentech|Independent Contractor (included contracted research)-NS Pharma|Independent Contractor (included contracted research)-Sarepta (Relationship has ended)|Independent Contractor (included contracted research)-UCB, Inc (Relationship has ended) - 04/10/2026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Olimpia Carbunar,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Grant or research support-Argenx|Grant or research support-Kyverna Therapeutics - 03/26/2026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Mazen M Dimachkie,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Grant or research support-Alexion Pharmaceuticals|Consulting Fee-Astellas (Any division)|Grant or research support-AstraZeneca (Any division)|Grant or research support-Bristol-Myers Squibb Company|Consulting Fee-CSL Behring, LLC|Grant or research support-CSL Behring, LLC|Consulting Fee-EMD Serono|Grant or research support-EMD Serono|Grant or research support-Genentech (Any division)|Grant or research support-Grifols|Consulting Fee-Horizon Pharmaceuticals|Grant or research support-Horizon Pharmaceuticals|Consulting Fee-Janssen (Any division)|Grant or research support-Muscular Dystrophy Association|Grant or research support-Novartis Corporation Pharmaceuticals|Grant or research support-UCB|Consulting Fee-Sanofi S.A.|Grant or research support-Sanofi S.A.|Grant or research support-Genzyme (Any division)|Consulting Fee-Genzyme (Any division)|Consulting Fee-Shire Pharmaceuticals|Grant or research support-Shire Pharmaceuticals|Consulting Fee-Takeda Pharmaceuticals (Any division)|Grant or research support-Takeda Pharmaceuticals (Any division)|Consulting Fee-Vertex Pharmaceuticals|Consulting Fee-Abcuro, Inc|Grant or research support-Abcuro, Inc|Grant or research support-Alnylam Pharmaceuticals|Consulting Fee-Amicus Therapeutics|Grant or research support-Amicus Therapeutics|Consulting Fee-Annexon Biosciences|Grant or research support-ArgenX|Consulting Fee-ArgenX|Grant or research support-Biosensics|Consulting Fee-Cabaletta Bio|Grant or research support-Cabaletta Bio|Consulting Fee-Catalyst Pharma|Grant or research support-Catalyst Pharma|Membership on Advisory Committees or Review Panels, Board Membership, etc.-Covance-Labcorp-Fortrea|Consulting Fee-Creyon Bio, Inc|Consulting Fee-Dianthus Therapeutics|Royalties or Patent Beneficiary-Elsevier|Grant or research support-FDA Office of Orphan Products Development|Grant or research support-GlaxoSmithKline|Consulting Fee-Ig Society, Inc|Consulting Fee-Medlink|Grant or research support-Mitsubishi Tanabe Pharma|Grant or research support-National Institutes of Health- NIH|Grant or research support-Nkarta|Grant or research support-Nuvig Therapeutics|Consulting Fee-Octapharma|Grant or research support-Octapharma|Grant or research support-Priovant Therapeutics|Grant or research support-Sarepta Therapeutics|Grant or research support-Spark Therapeutics|Consulting Fee-TACT-Treat NMD|Grant or research support-The Myositis Association|Royalties or Patent Beneficiary-Wolters Kluwer Health|Royalties or Patent Beneficiary-Zevra Therapeutics - Orphazyme|Grant or research support-Zevra Therapeutics - Orphazyme - 11/13/2025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miriam freimer,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Membership on Advisory Committees or Review Panels, Board Membership, etc.-Cartesian Pharma (Relationship has ended)|Membership on Advisory Committees or Review Panels, Board Membership, etc.-NMD Pharma (Relationship has ended)|Membership on Advisory Committees or Review Panels, Board Membership, etc.-ARGENX|Honoraria-Med Learning (Relationship has ended)|Membership on Advisory Committees or Review Panels, Board Membership, etc.-UCB|Membership on Advisory Committees or Review Panels, Board Membership, etc.-J and J (Relationship has ended)|Membership on Advisory Committees or Review Panels, Board Membership, etc.-Arcellx (Relationship has ended)|Grant or research support-Dianthus|Grant or research support-Avidity|Grant or research support-Abcurro|Grant or research support-Arcellx|Grant or research support-Argenx|Grant or research support-COur|Grant or research support-NMD|Grant or research support-UCB - 04/12/2026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Namita Goyal,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Grant or research support-Abcuro|Grant or research support-Annexon|Grant or research support-Calico|Grant or research support-Clene|Grant or research support-Fulcrum (Relationship has ended)|Grant or research support-Janssen|Grant or research support-Medicinova|Grant or research support-MT Pharma (Relationship has ended)|Grant or research support-PepGen|Grant or research support-Prilenia|Grant or research support-PTC therapeutics (Relationship has ended)|Grant or research support-Roche|Grant or research support-Sanofi|Grant or research support-Transposon (Relationship has ended)|Speakers Bureau-Argenx|Speakers Bureau-CSL Behring - 04/10/2026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Ali A Habib,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Grant or research support-argenx|Grant or research support-Alexion Pharmaceuticals|Grant or research support-UCB|Grant or research support-CabalettaBio|Grant or research support-Genentech (Any division)|Grant or research support-Immunovant|Grant or research support-Regeneron Pharmaceuticals, Inc.|Grant or research support-VielaBio-Horizon|Speakers Bureau-Alexion Pharmaceuticals|Speakers Bureau-UCB|Speakers Bureau-argenx|Membership on Advisory Committees or Review Panels, Board Membership, etc.-argenx|Membership on Advisory Committees or Review Panels, Board Membership, etc.-UCB|Membership on Advisory Committees or Review Panels, Board Membership, etc.-Roche (Any division) (Relationship has ended)|Paid consultant-NMDPharma|Grant or research support-Arcellx|Grant or research support-Novartis Corporation Pharmaceuticals|Grant or research support-Merck (Any division)|Grant or research support-NKarta|Consulting Fee-Grifols|Consulting Fee-Janssen (Any division)|Speakers Bureau-Janssen (Any division)|Consulting Fee-Kyverna|Grant or research support-Cour Therapeutics - 07/16/2025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Justin Kwan,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- 03/18/2026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Richard A Lewis,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Fee-Annexon |Consulting Fee-Argenx |Consulting Fee-Seismic|Consulting Fee-BioCrist|Consulting Fee-Intellia|Consulting Fee-TGTX|Consulting Fee-tgtx|Consulting Fee-Dianthus |Consulting Fee-Grifols|Consulting Fee-Janssen (Any division)|Consulting Fee-Nuvig |Consulting Fee-Sanofi S.A.|Consulting Fee-Takeda Pharmaceuticals (Any division)|Consulting Fee-Immunovant|Consulting Fee-Boehringer Ingelheim Pharmaceuticals, Inc.|Consulting Fee-Novartis Corporation Pharmaceuticals|Honoraria-Medscape - 04/01/2026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Paul McIntosh,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Fee-Sanofi S.A. (Relationship has ended)|Consulting Fee-Amicus Therapeutics - 03/26/2026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Tahseen Mozaffar, MD, Professor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Fee-Alexion Pharmaceuticals|Consulting Fee-Amicus|Consulting Fee-Sanofi|Consulting Fee-Fate Therapeutics|Consulting Fee-Maze Therapeutics|Grant or research support-Spark Therapeutics (Relationship has ended)|Consulting Fee-Cabaletta (Relationship has ended)|Grant or research support-AnnJi (Relationship has ended)|Grant or research support-Ask Bio|Consulting Fee-Horizon Therapeutics|Grant or research support-Cabaletta|Consulting Fee-Janssen (Any division) (Relationship has ended)|Consulting Fee-Argenx|Grant or research support-Argenx|Consulting Fee-Merck (Any division)|Honoraria-Muscular Dystrophy Association|Consulting Fee-Regeneron Pharmaceuticals, Inc.|Consulting Fee-UCB|Grant or research support-Astellas (Any division) - 07/15/2025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Jeffrey Mullen,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- 03/18/2026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Srikanth Muppidi,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Advisor-Alexion Pharmaceuticals|Advisor-Amgen, Inc.|Advisor-Johnson &amp; Johnson|Advisor-Novartis Corporation Pharmaceuticals|Membership on Advisory Committees or Review Panels, Board Membership, etc.-Dianthus|Advisor-Kyverna - 05/06/2026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Mona Rezaei,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- 03/17/2026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Jeffrey Rosenfeld, MD, PhD, Professor of Neurology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Speakers Bureau-Johnson &amp; Johnson|Grant or research support-Novartis Corporation Pharmaceuticals|Speakers Bureau-argenx|Advisor-argenx|Speakers Bureau-Alexion|Advisor-NeuroSense Pharma|Advisor-Vor Biopharma|Advisor-Annexon|Advisor-Serano (Relationship has ended)|Grant or research support-Muscular Dystrophy Association|Grant or research support-ALS Network|Advisor-UCB|Advisor-MTPA (Relationship has ended) - 05/02/2026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Perry Shieh, MD, PhD, FAAN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Speakers Bureau-Alexion Pharmaceuticals|Speakers Bureau-UCB|Speakers Bureau-Biogen|Speakers Bureau-Genentech (Any division)|Speakers Bureau-CSL Behring, LLC|Speakers Bureau-argenx|Speakers Bureau-Grifols|Consulting Fee-Sarepta|Consulting Fee-Novartis Corporation Pharmaceuticals|Consulting Fee-Biogen|Consulting Fee-Genentech (Any division)|Consulting Fee-Alexion Pharmaceuticals|Consulting Fee-UCB|Speakers Bureau-Catalyst|Speakers Bureau-Johnson &amp; Johnson - 05/05/2026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Rachel Shulemson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- 07/15/2025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Werner Stenzel,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- 02/25/2026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Bryan J Traynor, MD, PhD, Senior Investigator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Grant or research support-AbbVie (Any division) - 03/19/2026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Bhavesh Trikamji,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- 03/31/2026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Leo Wang, MD,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- 03/18/2026</w:t>
            </w:r>
          </w:p>
        </w:tc>
      </w:tr>
    </w:tbl>
    <w:p w:rsidR="004F716E">
      <w:pPr>
        <w:bidi w:val="0"/>
        <w:spacing w:after="280" w:afterAutospacing="1"/>
        <w:rPr>
          <w:sz w:val="20"/>
          <w:szCs w:val="20"/>
        </w:rPr>
      </w:pPr>
    </w:p>
    <w:p w:rsidR="004F716E" w:rsidP="004F716E">
      <w:pPr>
        <w:spacing w:after="0" w:line="240" w:lineRule="auto"/>
        <w:contextualSpacing/>
        <w:rPr>
          <w:sz w:val="20"/>
          <w:szCs w:val="20"/>
        </w:rPr>
      </w:pPr>
    </w:p>
    <w:p w:rsidR="004F716E" w:rsidRPr="00302AD4" w:rsidP="004F716E">
      <w:pPr>
        <w:spacing w:after="0" w:line="240" w:lineRule="auto"/>
        <w:contextualSpacing/>
        <w:rPr>
          <w:b/>
          <w:bCs/>
          <w:sz w:val="24"/>
          <w:szCs w:val="24"/>
        </w:rPr>
      </w:pPr>
      <w:r>
        <w:rPr>
          <w:b/>
          <w:bCs/>
          <w:sz w:val="24"/>
          <w:szCs w:val="24"/>
        </w:rPr>
        <w:t>Agenda</w:t>
      </w:r>
    </w:p>
    <w:p w:rsidR="004F716E" w:rsidRPr="00302AD4" w:rsidP="004F716E">
      <w:pPr>
        <w:spacing w:after="0" w:line="240" w:lineRule="auto"/>
        <w:contextualSpacing/>
        <w:rPr>
          <w:b/>
          <w:bCs/>
          <w:sz w:val="20"/>
          <w:szCs w:val="20"/>
        </w:rPr>
      </w:pPr>
      <w:r>
        <w:rPr>
          <w:b/>
          <w:bCs/>
          <w:sz w:val="20"/>
          <w:szCs w:val="20"/>
        </w:rPr>
        <w:t>[INSERT AGENDA HERE MANUALLY]</w:t>
      </w:r>
    </w:p>
    <w:p w:rsidR="004F716E" w:rsidP="004F716E">
      <w:pPr>
        <w:spacing w:after="0" w:line="240" w:lineRule="auto"/>
        <w:contextualSpacing/>
        <w:rPr>
          <w:sz w:val="20"/>
          <w:szCs w:val="20"/>
        </w:rPr>
      </w:pPr>
    </w:p>
    <w:p w:rsidR="004F716E" w:rsidRPr="00302AD4" w:rsidP="004F716E">
      <w:pPr>
        <w:spacing w:after="0" w:line="240" w:lineRule="auto"/>
        <w:contextualSpacing/>
        <w:rPr>
          <w:b/>
          <w:bCs/>
          <w:sz w:val="24"/>
          <w:szCs w:val="24"/>
        </w:rPr>
      </w:pPr>
      <w:r>
        <w:rPr>
          <w:b/>
          <w:bCs/>
          <w:sz w:val="24"/>
          <w:szCs w:val="24"/>
        </w:rPr>
        <w:t>Acknowledgement of Commercial Support</w:t>
      </w:r>
    </w:p>
    <w:p w:rsidR="002858C0" w:rsidRPr="00302AD4">
      <w:pPr>
        <w:spacing w:after="0" w:line="240" w:lineRule="auto"/>
        <w:contextualSpacing/>
        <w:rPr>
          <w:sz w:val="24"/>
          <w:szCs w:val="24"/>
        </w:rPr>
      </w:pPr>
      <w:r>
        <w:rPr>
          <w:sz w:val="24"/>
          <w:szCs w:val="24"/>
        </w:rPr>
        <w:fldChar w:fldCharType="begin"/>
      </w:r>
      <w:r>
        <w:rPr>
          <w:sz w:val="24"/>
          <w:szCs w:val="24"/>
        </w:rPr>
        <w:instrText xml:space="preserve"> IF </w:instrText>
      </w:r>
      <w:r>
        <w:rPr>
          <w:sz w:val="24"/>
          <w:szCs w:val="24"/>
        </w:rPr>
        <w:instrText>"</w:instrText>
      </w:r>
      <w:r>
        <w:rPr>
          <w:sz w:val="24"/>
          <w:szCs w:val="24"/>
        </w:rPr>
        <w:instrText>"</w:instrText>
      </w:r>
      <w:r>
        <w:rPr>
          <w:sz w:val="24"/>
          <w:szCs w:val="24"/>
        </w:rPr>
        <w:instrText xml:space="preserve"> &lt;&gt; "" "</w:instrText>
      </w:r>
      <w:r>
        <w:rPr>
          <w:sz w:val="24"/>
          <w:szCs w:val="24"/>
        </w:rPr>
        <w:fldChar w:fldCharType="begin"/>
      </w:r>
      <w:r>
        <w:rPr>
          <w:sz w:val="24"/>
          <w:szCs w:val="24"/>
        </w:rPr>
        <w:instrText xml:space="preserve"> MERGEFIELD CommercialSupport </w:instrText>
      </w:r>
      <w:r>
        <w:rPr>
          <w:sz w:val="24"/>
          <w:szCs w:val="24"/>
        </w:rPr>
        <w:fldChar w:fldCharType="separate"/>
      </w:r>
      <w:r w:rsidR="00D46C0D">
        <w:rPr>
          <w:noProof/>
          <w:sz w:val="24"/>
          <w:szCs w:val="24"/>
        </w:rPr>
        <w:instrText>«CommercialSupport»</w:instrText>
      </w:r>
      <w:r>
        <w:rPr>
          <w:sz w:val="24"/>
          <w:szCs w:val="24"/>
        </w:rPr>
        <w:fldChar w:fldCharType="end"/>
      </w:r>
      <w:r>
        <w:rPr>
          <w:sz w:val="24"/>
          <w:szCs w:val="24"/>
        </w:rPr>
        <w:instrText xml:space="preserve">" "No commercial support has been received for this activity." </w:instrText>
      </w:r>
      <w:r>
        <w:rPr>
          <w:sz w:val="24"/>
          <w:szCs w:val="24"/>
        </w:rPr>
        <w:fldChar w:fldCharType="separate"/>
      </w:r>
      <w:r>
        <w:rPr>
          <w:sz w:val="24"/>
          <w:szCs w:val="24"/>
        </w:rPr>
        <w:t>No commercial support has been received for this activity.</w:t>
      </w:r>
      <w:r>
        <w:rPr>
          <w:sz w:val="24"/>
          <w:szCs w:val="24"/>
        </w:rPr>
        <w:fldChar w:fldCharType="end"/>
      </w:r>
    </w:p>
    <w:sectPr w:rsidSect="004F716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eo Light">
    <w:panose1 w:val="00000400000000000000"/>
    <w:charset w:val="4D"/>
    <w:family w:val="auto"/>
    <w:pitch w:val="variable"/>
    <w:sig w:usb0="00000007" w:usb1="00000000" w:usb2="00000000" w:usb3="00000000" w:csb0="0000008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8"/>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12E1"/>
    <w:rPr>
      <w:color w:val="0563C1" w:themeColor="hyperlink"/>
      <w:u w:val="single"/>
    </w:rPr>
  </w:style>
  <w:style w:type="character" w:customStyle="1" w:styleId="UnresolvedMention">
    <w:name w:val="Unresolved Mention"/>
    <w:basedOn w:val="DefaultParagraphFont"/>
    <w:uiPriority w:val="99"/>
    <w:semiHidden/>
    <w:unhideWhenUsed/>
    <w:rsid w:val="007312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1460</Words>
  <Characters>8326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Browne, Tyler</dc:creator>
  <cp:lastModifiedBy>Millard, Beverly</cp:lastModifiedBy>
  <cp:revision>2</cp:revision>
  <dcterms:created xsi:type="dcterms:W3CDTF">2025-05-02T13:50:00Z</dcterms:created>
  <dcterms:modified xsi:type="dcterms:W3CDTF">2025-05-02T13:50:00Z</dcterms:modified>
</cp:coreProperties>
</file>