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35140857"/>
    <w:bookmarkEnd w:id="0"/>
    <w:p w14:paraId="41B220D6" w14:textId="77777777" w:rsidR="00F26FC5" w:rsidRDefault="00F26FC5" w:rsidP="004F716E">
      <w:pPr>
        <w:spacing w:after="0" w:line="240" w:lineRule="auto"/>
        <w:contextualSpacing/>
        <w:jc w:val="center"/>
        <w:rPr>
          <w:b/>
          <w:bCs/>
          <w:sz w:val="20"/>
          <w:szCs w:val="20"/>
        </w:rPr>
      </w:pPr>
      <w:r w:rsidRPr="00467105">
        <w:rPr>
          <w:b/>
          <w:bCs/>
          <w:sz w:val="20"/>
          <w:szCs w:val="20"/>
        </w:rPr>
        <w:fldChar w:fldCharType="begin"/>
      </w:r>
      <w:r w:rsidRPr="00467105">
        <w:rPr>
          <w:b/>
          <w:bCs/>
          <w:sz w:val="20"/>
          <w:szCs w:val="20"/>
        </w:rPr>
        <w:instrText xml:space="preserve"> IF ""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Pr>
          <w:b/>
          <w:bCs/>
          <w:noProof/>
          <w:sz w:val="28"/>
          <w:szCs w:val="28"/>
        </w:rPr>
        <w:instrText>«ParentName»</w:instrText>
      </w:r>
      <w:r w:rsidRPr="00467105">
        <w:rPr>
          <w:b/>
          <w:bCs/>
          <w:sz w:val="28"/>
          <w:szCs w:val="28"/>
        </w:rPr>
        <w:fldChar w:fldCharType="end"/>
      </w:r>
    </w:p>
    <w:p w14:paraId="69A29193" w14:textId="196F03EB" w:rsidR="00F26FC5" w:rsidRDefault="00F26FC5"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16th Annual Digestive Health Symposium</w:instrText>
      </w:r>
      <w:r w:rsidRPr="00467105">
        <w:rPr>
          <w:b/>
          <w:bCs/>
          <w:sz w:val="20"/>
          <w:szCs w:val="20"/>
        </w:rPr>
        <w:instrText xml:space="preserve">" </w:instrText>
      </w:r>
      <w:r w:rsidRPr="00467105">
        <w:rPr>
          <w:b/>
          <w:bCs/>
          <w:sz w:val="20"/>
          <w:szCs w:val="20"/>
        </w:rPr>
        <w:fldChar w:fldCharType="separate"/>
      </w:r>
      <w:r w:rsidRPr="00467105">
        <w:rPr>
          <w:b/>
          <w:bCs/>
          <w:sz w:val="28"/>
          <w:szCs w:val="28"/>
        </w:rPr>
        <w:t>1</w:t>
      </w:r>
      <w:r w:rsidR="004434DA">
        <w:rPr>
          <w:b/>
          <w:bCs/>
          <w:sz w:val="28"/>
          <w:szCs w:val="28"/>
        </w:rPr>
        <w:t>7</w:t>
      </w:r>
      <w:r w:rsidRPr="00467105">
        <w:rPr>
          <w:b/>
          <w:bCs/>
          <w:sz w:val="28"/>
          <w:szCs w:val="28"/>
        </w:rPr>
        <w:t>th Annual Digestive Health Symposium</w:t>
      </w:r>
      <w:r w:rsidRPr="00467105">
        <w:rPr>
          <w:b/>
          <w:bCs/>
          <w:sz w:val="20"/>
          <w:szCs w:val="20"/>
        </w:rPr>
        <w:fldChar w:fldCharType="end"/>
      </w:r>
    </w:p>
    <w:p w14:paraId="1CB79A75" w14:textId="77777777" w:rsidR="00F26FC5" w:rsidRDefault="00F26FC5" w:rsidP="004F716E">
      <w:pPr>
        <w:spacing w:after="0" w:line="240" w:lineRule="auto"/>
        <w:contextualSpacing/>
        <w:rPr>
          <w:sz w:val="20"/>
          <w:szCs w:val="20"/>
        </w:rPr>
      </w:pPr>
    </w:p>
    <w:p w14:paraId="4AAD3D1D" w14:textId="7F5B8AC2" w:rsidR="00F26FC5" w:rsidRPr="004434DA" w:rsidRDefault="004434DA" w:rsidP="00467105">
      <w:pPr>
        <w:spacing w:after="0" w:line="240" w:lineRule="auto"/>
        <w:contextualSpacing/>
        <w:jc w:val="center"/>
      </w:pPr>
      <w:r w:rsidRPr="004434DA">
        <w:t>March 27, 2026</w:t>
      </w:r>
      <w:r w:rsidR="00F26FC5" w:rsidRPr="004434DA">
        <w:fldChar w:fldCharType="begin"/>
      </w:r>
      <w:r w:rsidR="00F26FC5" w:rsidRPr="004434DA">
        <w:instrText xml:space="preserve"> IF "2 23 2024" &lt;&gt; "2 25 2024" " – </w:instrText>
      </w:r>
      <w:r w:rsidR="00F26FC5" w:rsidRPr="004434DA">
        <w:fldChar w:fldCharType="begin"/>
      </w:r>
      <w:r w:rsidR="00F26FC5" w:rsidRPr="004434DA">
        <w:instrText xml:space="preserve"> MERGEFIELD EndTime \@ "MMMM d, yyyy" </w:instrText>
      </w:r>
      <w:r w:rsidR="00F26FC5" w:rsidRPr="004434DA">
        <w:fldChar w:fldCharType="separate"/>
      </w:r>
      <w:r w:rsidR="00F26FC5" w:rsidRPr="004434DA">
        <w:instrText>«EndTime»</w:instrText>
      </w:r>
      <w:r w:rsidR="00F26FC5" w:rsidRPr="004434DA">
        <w:fldChar w:fldCharType="end"/>
      </w:r>
      <w:r w:rsidR="00F26FC5" w:rsidRPr="004434DA">
        <w:instrText xml:space="preserve">" "" </w:instrText>
      </w:r>
      <w:r w:rsidR="00000000" w:rsidRPr="004434DA">
        <w:fldChar w:fldCharType="separate"/>
      </w:r>
      <w:r w:rsidR="00F26FC5" w:rsidRPr="004434DA">
        <w:fldChar w:fldCharType="end"/>
      </w:r>
    </w:p>
    <w:p w14:paraId="730E6DBB" w14:textId="77777777" w:rsidR="00F26FC5" w:rsidRDefault="00F26FC5" w:rsidP="004F716E">
      <w:pPr>
        <w:spacing w:after="0" w:line="240" w:lineRule="auto"/>
        <w:contextualSpacing/>
        <w:rPr>
          <w:sz w:val="20"/>
          <w:szCs w:val="20"/>
        </w:rPr>
      </w:pPr>
      <w:r>
        <w:rPr>
          <w:sz w:val="20"/>
          <w:szCs w:val="20"/>
        </w:rPr>
        <w:fldChar w:fldCharType="begin"/>
      </w:r>
      <w:r>
        <w:rPr>
          <w:sz w:val="20"/>
          <w:szCs w:val="20"/>
        </w:rPr>
        <w:instrText xml:space="preserve"> IF "</w:instrText>
      </w:r>
      <w:r>
        <w:instrText>This two-day format allows for the combining of three annual symposiums into one; thereby expanding our audience base, introducing attendees to all digestive health tertiary medical and surgical services offered at our Digestive Health Institute. Agenda to be uploaded</w:instrText>
      </w:r>
      <w:r>
        <w:rPr>
          <w:sz w:val="20"/>
          <w:szCs w:val="20"/>
        </w:rPr>
        <w:instrText>" &lt;&gt; "" "</w:instrText>
      </w:r>
    </w:p>
    <w:p w14:paraId="0B9483DE" w14:textId="77777777" w:rsidR="00F26FC5" w:rsidRDefault="00F26FC5" w:rsidP="004F716E">
      <w:pPr>
        <w:spacing w:after="0" w:line="240" w:lineRule="auto"/>
        <w:contextualSpacing/>
        <w:rPr>
          <w:sz w:val="20"/>
          <w:szCs w:val="20"/>
        </w:rPr>
      </w:pPr>
    </w:p>
    <w:p w14:paraId="5B938289" w14:textId="77777777" w:rsidR="00F26FC5" w:rsidRDefault="00F26FC5" w:rsidP="004F716E">
      <w:pPr>
        <w:spacing w:after="0" w:line="240" w:lineRule="auto"/>
        <w:contextualSpacing/>
        <w:rPr>
          <w:sz w:val="24"/>
          <w:szCs w:val="24"/>
        </w:rPr>
      </w:pPr>
      <w:r>
        <w:rPr>
          <w:b/>
          <w:bCs/>
          <w:sz w:val="24"/>
          <w:szCs w:val="24"/>
        </w:rPr>
        <w:instrText>Purpose</w:instrText>
      </w:r>
    </w:p>
    <w:p w14:paraId="38050F5E" w14:textId="6E0B2C95" w:rsidR="00F26FC5" w:rsidRDefault="00F26FC5" w:rsidP="004F716E">
      <w:pPr>
        <w:spacing w:after="0" w:line="240" w:lineRule="auto"/>
        <w:contextualSpacing/>
        <w:rPr>
          <w:noProof/>
          <w:sz w:val="20"/>
          <w:szCs w:val="20"/>
        </w:rPr>
      </w:pPr>
      <w:r>
        <w:instrText>This two-day format allows for the combining of three annual symposiums into one; thereby expanding our audience base, introducing attendees to all digestive health tertiary medical and surgical services offered at our Digestive Health Institute. Agenda to be uploaded</w:instrText>
      </w:r>
      <w:r>
        <w:rPr>
          <w:sz w:val="20"/>
          <w:szCs w:val="20"/>
        </w:rPr>
        <w:instrText xml:space="preserve">" "" </w:instrText>
      </w:r>
      <w:r>
        <w:rPr>
          <w:sz w:val="20"/>
          <w:szCs w:val="20"/>
        </w:rPr>
        <w:fldChar w:fldCharType="separate"/>
      </w:r>
    </w:p>
    <w:p w14:paraId="352B6529" w14:textId="77777777" w:rsidR="00F26FC5" w:rsidRDefault="00F26FC5" w:rsidP="004F716E">
      <w:pPr>
        <w:spacing w:after="0" w:line="240" w:lineRule="auto"/>
        <w:contextualSpacing/>
        <w:rPr>
          <w:sz w:val="24"/>
          <w:szCs w:val="24"/>
        </w:rPr>
      </w:pPr>
      <w:r>
        <w:rPr>
          <w:b/>
          <w:bCs/>
          <w:sz w:val="24"/>
          <w:szCs w:val="24"/>
        </w:rPr>
        <w:t>Purpose</w:t>
      </w:r>
    </w:p>
    <w:p w14:paraId="5CD4B1D5" w14:textId="77777777" w:rsidR="00F26FC5" w:rsidRDefault="00F26FC5" w:rsidP="004F716E">
      <w:pPr>
        <w:spacing w:after="0" w:line="240" w:lineRule="auto"/>
        <w:contextualSpacing/>
        <w:rPr>
          <w:sz w:val="20"/>
          <w:szCs w:val="20"/>
        </w:rPr>
      </w:pPr>
      <w:r>
        <w:t>This two-day format allows for the combining of three annual symposiums into one; thereby expanding our audience base, introducing attendees to all digestive health tertiary medical and surgical services offered at our Digestive Health Institute. Agenda to be uploaded</w:t>
      </w:r>
      <w:r>
        <w:rPr>
          <w:sz w:val="20"/>
          <w:szCs w:val="20"/>
        </w:rPr>
        <w:fldChar w:fldCharType="end"/>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fldChar w:fldCharType="begin"/>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"Medicine, Gastroenterology"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"Physician, Non-Physician, Allied Health Professional, EMT, Medical Assistant, Medical Student, Nurse, Nurse Practitioner, Other, Pharmacist, Physical Therapist, Registered Dietitian, Resident Physician, Social Worker"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w:instrText>
      </w:r>
      <w:r w:rsidRPr="0042796F">
        <w:rPr>
          <w:rFonts w:cstheme="minorHAnsi"/>
          <w:sz w:val="20"/>
          <w:szCs w:val="20"/>
        </w:rPr>
        <w:fldChar w:fldCharType="separate"/>
      </w:r>
      <w:r w:rsidRPr="0042796F">
        <w:rPr>
          <w:rFonts w:cstheme="minorHAnsi"/>
          <w:sz w:val="20"/>
          <w:szCs w:val="20"/>
        </w:rPr>
        <w:instrText>2</w:instrText>
      </w:r>
      <w:r w:rsidRPr="0042796F">
        <w:rPr>
          <w:rFonts w:cstheme="minorHAnsi"/>
          <w:sz w:val="20"/>
          <w:szCs w:val="20"/>
        </w:rPr>
        <w:fldChar w:fldCharType="end"/>
      </w:r>
      <w:r w:rsidRPr="0042796F">
        <w:rPr>
          <w:rFonts w:cstheme="minorHAnsi"/>
          <w:sz w:val="20"/>
          <w:szCs w:val="20"/>
        </w:rPr>
        <w:instrText xml:space="preserve"> &gt; 0 "</w:instrText>
      </w:r>
    </w:p>
    <w:p w14:paraId="66B70D58" w14:textId="77777777" w:rsidR="00F26FC5" w:rsidRPr="0042796F" w:rsidRDefault="00F26FC5" w:rsidP="0042796F">
      <w:pPr>
        <w:spacing w:after="0" w:line="240" w:lineRule="auto"/>
        <w:contextualSpacing/>
        <w:rPr>
          <w:rFonts w:cstheme="minorHAnsi"/>
          <w:sz w:val="20"/>
          <w:szCs w:val="20"/>
        </w:rPr>
      </w:pPr>
    </w:p>
    <w:p w14:paraId="1787E86D" w14:textId="77777777" w:rsidR="00F26FC5" w:rsidRPr="0042796F" w:rsidRDefault="00F26FC5"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"Medicine, Gastroenterology" &lt;&gt; "" "</w:instrText>
      </w:r>
    </w:p>
    <w:p w14:paraId="53EC4FF3" w14:textId="77777777" w:rsidR="00F26FC5" w:rsidRPr="0042796F" w:rsidRDefault="00F26FC5" w:rsidP="0042796F">
      <w:pPr>
        <w:spacing w:after="0" w:line="240" w:lineRule="auto"/>
        <w:contextualSpacing/>
        <w:rPr>
          <w:rFonts w:cstheme="minorHAnsi"/>
          <w:noProof/>
          <w:sz w:val="24"/>
          <w:szCs w:val="24"/>
        </w:rPr>
      </w:pPr>
      <w:r w:rsidRPr="0042796F">
        <w:rPr>
          <w:rFonts w:cstheme="minorHAnsi"/>
          <w:sz w:val="24"/>
          <w:szCs w:val="24"/>
        </w:rPr>
        <w:instrText xml:space="preserve">Specialties – Medicine, Gastroenterology" "" </w:instrText>
      </w:r>
      <w:r w:rsidRPr="0042796F">
        <w:rPr>
          <w:rFonts w:cstheme="minorHAnsi"/>
          <w:sz w:val="24"/>
          <w:szCs w:val="24"/>
        </w:rPr>
        <w:fldChar w:fldCharType="separate"/>
      </w:r>
    </w:p>
    <w:p w14:paraId="2BC3F984" w14:textId="77777777" w:rsidR="00F26FC5" w:rsidRPr="0042796F" w:rsidRDefault="00F26FC5" w:rsidP="0042796F">
      <w:pPr>
        <w:spacing w:after="0" w:line="240" w:lineRule="auto"/>
        <w:contextualSpacing/>
        <w:rPr>
          <w:rFonts w:cstheme="minorHAnsi"/>
          <w:sz w:val="24"/>
          <w:szCs w:val="24"/>
        </w:rPr>
      </w:pPr>
      <w:r w:rsidRPr="0042796F">
        <w:rPr>
          <w:rFonts w:cstheme="minorHAnsi"/>
          <w:sz w:val="24"/>
          <w:szCs w:val="24"/>
        </w:rPr>
        <w:instrText>Specialties – Medicine, Gastroenterology</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"Physician, Non-Physician, Allied Health Professional, EMT, Medical Assistant, Medical Student, Nurse, Nurse Practitioner, Other, Pharmacist, Physical Therapist, Registered Dietitian, Resident Physician, Social Worker" &lt;&gt; "" "</w:instrText>
      </w:r>
    </w:p>
    <w:p w14:paraId="1848076F" w14:textId="77777777" w:rsidR="00F26FC5" w:rsidRPr="0042796F" w:rsidRDefault="00F26FC5" w:rsidP="0042796F">
      <w:pPr>
        <w:spacing w:after="0" w:line="240" w:lineRule="auto"/>
        <w:contextualSpacing/>
        <w:rPr>
          <w:rFonts w:cstheme="minorHAnsi"/>
          <w:noProof/>
          <w:sz w:val="24"/>
          <w:szCs w:val="24"/>
        </w:rPr>
      </w:pPr>
      <w:r w:rsidRPr="0042796F">
        <w:rPr>
          <w:rFonts w:cstheme="minorHAnsi"/>
          <w:sz w:val="24"/>
          <w:szCs w:val="24"/>
        </w:rPr>
        <w:instrText xml:space="preserve">Professions – Physician, Non-Physician, Allied Health Professional, EMT, Medical Assistant, Medical Student, Nurse, Nurse Practitioner, Other, Pharmacist, Physical Therapist, Registered Dietitian, Resident Physician, Social Worker" "" </w:instrText>
      </w:r>
      <w:r w:rsidRPr="0042796F">
        <w:rPr>
          <w:rFonts w:cstheme="minorHAnsi"/>
          <w:sz w:val="24"/>
          <w:szCs w:val="24"/>
        </w:rPr>
        <w:fldChar w:fldCharType="separate"/>
      </w:r>
    </w:p>
    <w:p w14:paraId="1E51F5EF" w14:textId="77777777" w:rsidR="00F26FC5" w:rsidRPr="0042796F" w:rsidRDefault="00F26FC5" w:rsidP="0042796F">
      <w:pPr>
        <w:spacing w:after="0" w:line="240" w:lineRule="auto"/>
        <w:contextualSpacing/>
        <w:rPr>
          <w:rFonts w:cstheme="minorHAnsi"/>
          <w:sz w:val="24"/>
          <w:szCs w:val="24"/>
        </w:rPr>
      </w:pPr>
      <w:r w:rsidRPr="0042796F">
        <w:rPr>
          <w:rFonts w:cstheme="minorHAnsi"/>
          <w:sz w:val="24"/>
          <w:szCs w:val="24"/>
        </w:rPr>
        <w:instrText>Professions – Physician, Non-Physician, Allied Health Professional, EMT, Medical Assistant, Medical Student, Nurse, Nurse Practitioner, Other, Pharmacist, Physical Therapist, Registered Dietitian, Resident Physician, Social Worker</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14:paraId="495485AD" w14:textId="77777777" w:rsidR="00F26FC5" w:rsidRPr="0042796F" w:rsidRDefault="00F26FC5" w:rsidP="0042796F">
      <w:pPr>
        <w:spacing w:after="0" w:line="240" w:lineRule="auto"/>
        <w:contextualSpacing/>
        <w:rPr>
          <w:rFonts w:cstheme="minorHAnsi"/>
          <w:sz w:val="20"/>
          <w:szCs w:val="20"/>
        </w:rPr>
      </w:pPr>
    </w:p>
    <w:p w14:paraId="4A990BFF" w14:textId="77777777" w:rsidR="00F26FC5" w:rsidRPr="0042796F" w:rsidRDefault="00F26FC5" w:rsidP="0042796F">
      <w:pPr>
        <w:spacing w:after="0" w:line="240" w:lineRule="auto"/>
        <w:contextualSpacing/>
        <w:rPr>
          <w:rFonts w:cstheme="minorHAnsi"/>
          <w:sz w:val="24"/>
          <w:szCs w:val="24"/>
        </w:rPr>
      </w:pPr>
      <w:r w:rsidRPr="0042796F">
        <w:rPr>
          <w:rFonts w:cstheme="minorHAnsi"/>
          <w:b/>
          <w:bCs/>
          <w:sz w:val="24"/>
          <w:szCs w:val="24"/>
        </w:rPr>
        <w:t>Target Audience</w:t>
      </w:r>
    </w:p>
    <w:p w14:paraId="6C6E20C8" w14:textId="77777777" w:rsidR="00F26FC5" w:rsidRPr="0042796F" w:rsidRDefault="00F26FC5" w:rsidP="0042796F">
      <w:pPr>
        <w:spacing w:after="0" w:line="240" w:lineRule="auto"/>
        <w:contextualSpacing/>
        <w:rPr>
          <w:rFonts w:cstheme="minorHAnsi"/>
          <w:sz w:val="24"/>
          <w:szCs w:val="24"/>
        </w:rPr>
      </w:pPr>
      <w:r w:rsidRPr="0042796F">
        <w:rPr>
          <w:rFonts w:cstheme="minorHAnsi"/>
          <w:sz w:val="24"/>
          <w:szCs w:val="24"/>
        </w:rPr>
        <w:t>Specialties – Medicine, Gastroenterology</w:t>
      </w:r>
    </w:p>
    <w:p w14:paraId="57EC8F1E" w14:textId="77777777" w:rsidR="00F26FC5" w:rsidRPr="0042796F" w:rsidRDefault="00F26FC5" w:rsidP="0042796F">
      <w:pPr>
        <w:spacing w:after="0" w:line="240" w:lineRule="auto"/>
        <w:contextualSpacing/>
        <w:rPr>
          <w:rFonts w:cstheme="minorHAnsi"/>
          <w:sz w:val="20"/>
          <w:szCs w:val="20"/>
        </w:rPr>
      </w:pPr>
      <w:r w:rsidRPr="0042796F">
        <w:rPr>
          <w:rFonts w:cstheme="minorHAnsi"/>
          <w:sz w:val="24"/>
          <w:szCs w:val="24"/>
        </w:rPr>
        <w:t>Professions – Physician, Non-Physician, Allied Health Professional, EMT, Medical Assistant, Medical Student, Nurse, Nurse Practitioner, Other, Pharmacist, Physical Therapist, Registered Dietitian, Resident Physician, Social Worker</w:t>
      </w:r>
      <w:r w:rsidRPr="0042796F">
        <w:rPr>
          <w:rFonts w:cstheme="minorHAnsi"/>
          <w:sz w:val="20"/>
          <w:szCs w:val="20"/>
        </w:rPr>
        <w:fldChar w:fldCharType="end"/>
      </w:r>
      <w:r>
        <w:rPr>
          <w:sz w:val="20"/>
          <w:szCs w:val="20"/>
        </w:rPr>
        <w:fldChar w:fldCharType="begin"/>
      </w:r>
      <w:r>
        <w:rPr>
          <w:sz w:val="20"/>
          <w:szCs w:val="20"/>
        </w:rPr>
        <w:instrText xml:space="preserve"> IF "1 This program will provide, thorough formal lectures, question-and-answer sessions and a hands-on workshop, updates on new approaches in the diagnosis and management of gastrointestinal, liver diseases and cancer for invasive and non-invasive methods. The methods include case-based discussion, lecture, panel, simulation, and skill-based training.</w:instrText>
      </w:r>
    </w:p>
    <w:p w14:paraId="293B527C" w14:textId="77777777" w:rsidR="00F26FC5" w:rsidRDefault="00F26FC5" w:rsidP="0042796F">
      <w:pPr>
        <w:spacing w:after="0" w:line="240" w:lineRule="auto"/>
        <w:contextualSpacing/>
        <w:rPr>
          <w:sz w:val="20"/>
          <w:szCs w:val="20"/>
        </w:rPr>
      </w:pPr>
      <w:r>
        <w:rPr>
          <w:sz w:val="20"/>
          <w:szCs w:val="20"/>
        </w:rPr>
        <w:instrText>2 Learn to manage biologic therapy around the time of surgery</w:instrText>
      </w:r>
    </w:p>
    <w:p w14:paraId="63D817B1" w14:textId="77777777" w:rsidR="00F26FC5" w:rsidRDefault="00F26FC5" w:rsidP="0042796F">
      <w:pPr>
        <w:spacing w:after="0" w:line="240" w:lineRule="auto"/>
        <w:contextualSpacing/>
        <w:rPr>
          <w:sz w:val="20"/>
          <w:szCs w:val="20"/>
        </w:rPr>
      </w:pPr>
    </w:p>
    <w:p w14:paraId="7411C76D" w14:textId="77777777" w:rsidR="00F26FC5" w:rsidRDefault="00F26FC5" w:rsidP="0042796F">
      <w:pPr>
        <w:spacing w:after="0" w:line="240" w:lineRule="auto"/>
        <w:contextualSpacing/>
        <w:rPr>
          <w:sz w:val="20"/>
          <w:szCs w:val="20"/>
        </w:rPr>
      </w:pPr>
      <w:r>
        <w:rPr>
          <w:sz w:val="20"/>
          <w:szCs w:val="20"/>
        </w:rPr>
        <w:instrText>Improving knowledge about management of biologic therapy during surgery</w:instrText>
      </w:r>
    </w:p>
    <w:p w14:paraId="691C908A" w14:textId="77777777" w:rsidR="00F26FC5" w:rsidRDefault="00F26FC5" w:rsidP="0042796F">
      <w:pPr>
        <w:spacing w:after="0" w:line="240" w:lineRule="auto"/>
        <w:contextualSpacing/>
        <w:rPr>
          <w:sz w:val="20"/>
          <w:szCs w:val="20"/>
        </w:rPr>
      </w:pPr>
      <w:r>
        <w:rPr>
          <w:sz w:val="20"/>
          <w:szCs w:val="20"/>
        </w:rPr>
        <w:instrText>3 Understand optimization of medical therapy for inflammatory bowel disease</w:instrText>
      </w:r>
    </w:p>
    <w:p w14:paraId="07E1E65D" w14:textId="77777777" w:rsidR="00F26FC5" w:rsidRDefault="00F26FC5" w:rsidP="0042796F">
      <w:pPr>
        <w:spacing w:after="0" w:line="240" w:lineRule="auto"/>
        <w:contextualSpacing/>
        <w:rPr>
          <w:sz w:val="20"/>
          <w:szCs w:val="20"/>
        </w:rPr>
      </w:pPr>
    </w:p>
    <w:p w14:paraId="004F244D" w14:textId="77777777" w:rsidR="00F26FC5" w:rsidRDefault="00F26FC5" w:rsidP="0042796F">
      <w:pPr>
        <w:spacing w:after="0" w:line="240" w:lineRule="auto"/>
        <w:contextualSpacing/>
        <w:rPr>
          <w:sz w:val="20"/>
          <w:szCs w:val="20"/>
        </w:rPr>
      </w:pPr>
      <w:r>
        <w:rPr>
          <w:sz w:val="20"/>
          <w:szCs w:val="20"/>
        </w:rPr>
        <w:instrText>Start to use lab testing to check drug levels.</w:instrText>
      </w:r>
    </w:p>
    <w:p w14:paraId="77305F62" w14:textId="77777777" w:rsidR="00F26FC5" w:rsidRDefault="00F26FC5" w:rsidP="0042796F">
      <w:pPr>
        <w:spacing w:after="0" w:line="240" w:lineRule="auto"/>
        <w:contextualSpacing/>
        <w:rPr>
          <w:sz w:val="20"/>
          <w:szCs w:val="20"/>
        </w:rPr>
      </w:pPr>
    </w:p>
    <w:p w14:paraId="15C82266" w14:textId="77777777" w:rsidR="00F26FC5" w:rsidRDefault="00F26FC5" w:rsidP="0042796F">
      <w:pPr>
        <w:spacing w:after="0" w:line="240" w:lineRule="auto"/>
        <w:contextualSpacing/>
        <w:rPr>
          <w:sz w:val="20"/>
          <w:szCs w:val="20"/>
        </w:rPr>
      </w:pPr>
      <w:r>
        <w:rPr>
          <w:sz w:val="20"/>
          <w:szCs w:val="20"/>
        </w:rPr>
        <w:instrText>4 Review new drug therapies for Crohn's disease</w:instrText>
      </w:r>
    </w:p>
    <w:p w14:paraId="39DC6538" w14:textId="77777777" w:rsidR="00F26FC5" w:rsidRDefault="00F26FC5" w:rsidP="0042796F">
      <w:pPr>
        <w:spacing w:after="0" w:line="240" w:lineRule="auto"/>
        <w:contextualSpacing/>
        <w:rPr>
          <w:sz w:val="20"/>
          <w:szCs w:val="20"/>
        </w:rPr>
      </w:pPr>
    </w:p>
    <w:p w14:paraId="5723D7BB" w14:textId="77777777" w:rsidR="00F26FC5" w:rsidRDefault="00F26FC5" w:rsidP="0042796F">
      <w:pPr>
        <w:spacing w:after="0" w:line="240" w:lineRule="auto"/>
        <w:contextualSpacing/>
        <w:rPr>
          <w:sz w:val="20"/>
          <w:szCs w:val="20"/>
        </w:rPr>
      </w:pPr>
      <w:r>
        <w:rPr>
          <w:sz w:val="20"/>
          <w:szCs w:val="20"/>
        </w:rPr>
        <w:instrText>Develop better understanding of which therapies to use for Crohn's disease as we get more options</w:instrText>
      </w:r>
    </w:p>
    <w:p w14:paraId="1517F83A" w14:textId="77777777" w:rsidR="00F26FC5" w:rsidRDefault="00F26FC5" w:rsidP="0042796F">
      <w:pPr>
        <w:spacing w:after="0" w:line="240" w:lineRule="auto"/>
        <w:contextualSpacing/>
        <w:rPr>
          <w:sz w:val="20"/>
          <w:szCs w:val="20"/>
        </w:rPr>
      </w:pPr>
      <w:r>
        <w:rPr>
          <w:sz w:val="20"/>
          <w:szCs w:val="20"/>
        </w:rPr>
        <w:instrText>5 Discuss cancer risk in the IBD patient</w:instrText>
      </w:r>
    </w:p>
    <w:p w14:paraId="539A93FF" w14:textId="77777777" w:rsidR="00F26FC5" w:rsidRDefault="00F26FC5" w:rsidP="0042796F">
      <w:pPr>
        <w:spacing w:after="0" w:line="240" w:lineRule="auto"/>
        <w:contextualSpacing/>
        <w:rPr>
          <w:sz w:val="20"/>
          <w:szCs w:val="20"/>
        </w:rPr>
      </w:pPr>
    </w:p>
    <w:p w14:paraId="6C2C900D" w14:textId="77777777" w:rsidR="00F26FC5" w:rsidRDefault="00F26FC5" w:rsidP="0042796F">
      <w:pPr>
        <w:spacing w:after="0" w:line="240" w:lineRule="auto"/>
        <w:contextualSpacing/>
        <w:rPr>
          <w:sz w:val="20"/>
          <w:szCs w:val="20"/>
        </w:rPr>
      </w:pPr>
      <w:r>
        <w:rPr>
          <w:sz w:val="20"/>
          <w:szCs w:val="20"/>
        </w:rPr>
        <w:instrText>Ability to discuss risk of cancer development in patients with IBD as well as more biologic and immunomodulator therapy</w:instrText>
      </w:r>
    </w:p>
    <w:p w14:paraId="049F2A94" w14:textId="77777777" w:rsidR="00F26FC5" w:rsidRDefault="00F26FC5" w:rsidP="0042796F">
      <w:pPr>
        <w:spacing w:after="0" w:line="240" w:lineRule="auto"/>
        <w:contextualSpacing/>
        <w:rPr>
          <w:sz w:val="20"/>
          <w:szCs w:val="20"/>
        </w:rPr>
      </w:pPr>
      <w:r>
        <w:rPr>
          <w:sz w:val="20"/>
          <w:szCs w:val="20"/>
        </w:rPr>
        <w:instrText>6 Discuss what’s new in management of biliary and pancreatic diseases</w:instrText>
      </w:r>
    </w:p>
    <w:p w14:paraId="693119F3" w14:textId="77777777" w:rsidR="00F26FC5" w:rsidRDefault="00F26FC5" w:rsidP="0042796F">
      <w:pPr>
        <w:spacing w:after="0" w:line="240" w:lineRule="auto"/>
        <w:contextualSpacing/>
        <w:rPr>
          <w:sz w:val="20"/>
          <w:szCs w:val="20"/>
        </w:rPr>
      </w:pPr>
    </w:p>
    <w:p w14:paraId="1BBD633C" w14:textId="77777777" w:rsidR="00F26FC5" w:rsidRDefault="00F26FC5" w:rsidP="0042796F">
      <w:pPr>
        <w:spacing w:after="0" w:line="240" w:lineRule="auto"/>
        <w:contextualSpacing/>
        <w:rPr>
          <w:sz w:val="20"/>
          <w:szCs w:val="20"/>
        </w:rPr>
      </w:pPr>
      <w:r>
        <w:rPr>
          <w:sz w:val="20"/>
          <w:szCs w:val="20"/>
        </w:rPr>
        <w:instrText>Understand the latest developments in management of biliary and pancreatic diseases</w:instrText>
      </w:r>
    </w:p>
    <w:p w14:paraId="4B94B41C" w14:textId="77777777" w:rsidR="00F26FC5" w:rsidRDefault="00F26FC5" w:rsidP="0042796F">
      <w:pPr>
        <w:spacing w:after="0" w:line="240" w:lineRule="auto"/>
        <w:contextualSpacing/>
        <w:rPr>
          <w:sz w:val="20"/>
          <w:szCs w:val="20"/>
        </w:rPr>
      </w:pPr>
      <w:r>
        <w:rPr>
          <w:sz w:val="20"/>
          <w:szCs w:val="20"/>
        </w:rPr>
        <w:instrText>7 To define evidence based approaches towards the diagnosis and treatment of non-cardiac chest pain, belching and potential extra-esophageal symptoms of GERD</w:instrText>
      </w:r>
    </w:p>
    <w:p w14:paraId="22CE82AC" w14:textId="77777777" w:rsidR="00F26FC5" w:rsidRDefault="00F26FC5" w:rsidP="0042796F">
      <w:pPr>
        <w:spacing w:after="0" w:line="240" w:lineRule="auto"/>
        <w:contextualSpacing/>
        <w:rPr>
          <w:sz w:val="20"/>
          <w:szCs w:val="20"/>
        </w:rPr>
      </w:pPr>
    </w:p>
    <w:p w14:paraId="6777B48F" w14:textId="77777777" w:rsidR="00F26FC5" w:rsidRDefault="00F26FC5" w:rsidP="0042796F">
      <w:pPr>
        <w:spacing w:after="0" w:line="240" w:lineRule="auto"/>
        <w:contextualSpacing/>
        <w:rPr>
          <w:sz w:val="20"/>
          <w:szCs w:val="20"/>
        </w:rPr>
      </w:pPr>
      <w:r>
        <w:rPr>
          <w:sz w:val="20"/>
          <w:szCs w:val="20"/>
        </w:rPr>
        <w:instrText>Evidence for and against GERD as a potential cause of chest pain, laryngopharyngeal symptoms and belching</w:instrText>
      </w:r>
    </w:p>
    <w:p w14:paraId="7656B500" w14:textId="77777777" w:rsidR="00F26FC5" w:rsidRDefault="00F26FC5" w:rsidP="0042796F">
      <w:pPr>
        <w:spacing w:after="0" w:line="240" w:lineRule="auto"/>
        <w:contextualSpacing/>
        <w:rPr>
          <w:sz w:val="20"/>
          <w:szCs w:val="20"/>
        </w:rPr>
      </w:pPr>
      <w:r>
        <w:rPr>
          <w:sz w:val="20"/>
          <w:szCs w:val="20"/>
        </w:rPr>
        <w:instrText>Evidence for and against GERD therapies for the same symptoms.</w:instrText>
      </w:r>
    </w:p>
    <w:p w14:paraId="776AC625" w14:textId="77777777" w:rsidR="00F26FC5" w:rsidRDefault="00F26FC5" w:rsidP="0042796F">
      <w:pPr>
        <w:spacing w:after="0" w:line="240" w:lineRule="auto"/>
        <w:contextualSpacing/>
        <w:rPr>
          <w:sz w:val="20"/>
          <w:szCs w:val="20"/>
        </w:rPr>
      </w:pPr>
    </w:p>
    <w:p w14:paraId="5640711A" w14:textId="77777777" w:rsidR="00F26FC5" w:rsidRDefault="00F26FC5" w:rsidP="0042796F">
      <w:pPr>
        <w:spacing w:after="0" w:line="240" w:lineRule="auto"/>
        <w:contextualSpacing/>
        <w:rPr>
          <w:sz w:val="20"/>
          <w:szCs w:val="20"/>
        </w:rPr>
      </w:pPr>
      <w:r>
        <w:rPr>
          <w:sz w:val="20"/>
          <w:szCs w:val="20"/>
        </w:rPr>
        <w:instrText>8 Review current diagnostic and treatment paradigms for Barrett’s and esophageal cancer</w:instrText>
      </w:r>
    </w:p>
    <w:p w14:paraId="013FCF6F" w14:textId="77777777" w:rsidR="00F26FC5" w:rsidRDefault="00F26FC5" w:rsidP="0042796F">
      <w:pPr>
        <w:spacing w:after="0" w:line="240" w:lineRule="auto"/>
        <w:contextualSpacing/>
        <w:rPr>
          <w:sz w:val="20"/>
          <w:szCs w:val="20"/>
        </w:rPr>
      </w:pPr>
      <w:r>
        <w:rPr>
          <w:sz w:val="20"/>
          <w:szCs w:val="20"/>
        </w:rPr>
        <w:instrText>Develop the ideal future paradigm for detecting and treating Barrett’s and esophageal cancer.</w:instrText>
      </w:r>
    </w:p>
    <w:p w14:paraId="080598C3" w14:textId="77777777" w:rsidR="00F26FC5" w:rsidRDefault="00F26FC5" w:rsidP="0042796F">
      <w:pPr>
        <w:spacing w:after="0" w:line="240" w:lineRule="auto"/>
        <w:contextualSpacing/>
        <w:rPr>
          <w:sz w:val="20"/>
          <w:szCs w:val="20"/>
        </w:rPr>
      </w:pPr>
    </w:p>
    <w:p w14:paraId="59C23699" w14:textId="77777777" w:rsidR="00F26FC5" w:rsidRDefault="00F26FC5" w:rsidP="0042796F">
      <w:pPr>
        <w:spacing w:after="0" w:line="240" w:lineRule="auto"/>
        <w:contextualSpacing/>
        <w:rPr>
          <w:sz w:val="20"/>
          <w:szCs w:val="20"/>
        </w:rPr>
      </w:pPr>
      <w:r>
        <w:rPr>
          <w:sz w:val="20"/>
          <w:szCs w:val="20"/>
        </w:rPr>
        <w:instrText>Current diagnostic and treatment paradigms for Barrett’s cancer</w:instrText>
      </w:r>
    </w:p>
    <w:p w14:paraId="0AB5750C" w14:textId="77777777" w:rsidR="00F26FC5" w:rsidRDefault="00F26FC5" w:rsidP="0042796F">
      <w:pPr>
        <w:spacing w:after="0" w:line="240" w:lineRule="auto"/>
        <w:contextualSpacing/>
        <w:rPr>
          <w:sz w:val="20"/>
          <w:szCs w:val="20"/>
        </w:rPr>
      </w:pPr>
      <w:r>
        <w:rPr>
          <w:sz w:val="20"/>
          <w:szCs w:val="20"/>
        </w:rPr>
        <w:instrText>9 To determine whether endoscopic therapies (TIF, Stretta, Overstitch) provide equivalent outcomes compared with anti-reflux surgery</w:instrText>
      </w:r>
    </w:p>
    <w:p w14:paraId="6E5806E7" w14:textId="77777777" w:rsidR="00F26FC5" w:rsidRDefault="00F26FC5" w:rsidP="0042796F">
      <w:pPr>
        <w:spacing w:after="0" w:line="240" w:lineRule="auto"/>
        <w:contextualSpacing/>
        <w:rPr>
          <w:sz w:val="20"/>
          <w:szCs w:val="20"/>
        </w:rPr>
      </w:pPr>
      <w:r>
        <w:rPr>
          <w:sz w:val="20"/>
          <w:szCs w:val="20"/>
        </w:rPr>
        <w:instrText xml:space="preserve">To determine the individual factors for choosing between endoscopic </w:instrText>
      </w:r>
    </w:p>
    <w:p w14:paraId="420DB8F0" w14:textId="77777777" w:rsidR="00F26FC5" w:rsidRDefault="00F26FC5" w:rsidP="0042796F">
      <w:pPr>
        <w:spacing w:after="0" w:line="240" w:lineRule="auto"/>
        <w:contextualSpacing/>
        <w:rPr>
          <w:sz w:val="20"/>
          <w:szCs w:val="20"/>
        </w:rPr>
      </w:pPr>
    </w:p>
    <w:p w14:paraId="237CB41E" w14:textId="77777777" w:rsidR="00F26FC5" w:rsidRDefault="00F26FC5" w:rsidP="0042796F">
      <w:pPr>
        <w:spacing w:after="0" w:line="240" w:lineRule="auto"/>
        <w:contextualSpacing/>
        <w:rPr>
          <w:sz w:val="20"/>
          <w:szCs w:val="20"/>
        </w:rPr>
      </w:pPr>
      <w:r>
        <w:rPr>
          <w:sz w:val="20"/>
          <w:szCs w:val="20"/>
        </w:rPr>
        <w:instrText>Evidence for traditional surgery for GERD</w:instrText>
      </w:r>
    </w:p>
    <w:p w14:paraId="0216B014" w14:textId="77777777" w:rsidR="00F26FC5" w:rsidRDefault="00F26FC5" w:rsidP="0042796F">
      <w:pPr>
        <w:spacing w:after="0" w:line="240" w:lineRule="auto"/>
        <w:contextualSpacing/>
        <w:rPr>
          <w:sz w:val="20"/>
          <w:szCs w:val="20"/>
        </w:rPr>
      </w:pPr>
    </w:p>
    <w:p w14:paraId="3B6DA630" w14:textId="77777777" w:rsidR="00F26FC5" w:rsidRDefault="00F26FC5" w:rsidP="0042796F">
      <w:pPr>
        <w:spacing w:after="0" w:line="240" w:lineRule="auto"/>
        <w:contextualSpacing/>
        <w:rPr>
          <w:sz w:val="20"/>
          <w:szCs w:val="20"/>
        </w:rPr>
      </w:pPr>
      <w:r>
        <w:rPr>
          <w:sz w:val="20"/>
          <w:szCs w:val="20"/>
        </w:rPr>
        <w:instrText>Review of current literature regarding endoscopic therapies for GERD</w:instrText>
      </w:r>
    </w:p>
    <w:p w14:paraId="788D5EBF" w14:textId="77777777" w:rsidR="00F26FC5" w:rsidRDefault="00F26FC5" w:rsidP="0042796F">
      <w:pPr>
        <w:spacing w:after="0" w:line="240" w:lineRule="auto"/>
        <w:contextualSpacing/>
        <w:rPr>
          <w:sz w:val="20"/>
          <w:szCs w:val="20"/>
        </w:rPr>
      </w:pPr>
    </w:p>
    <w:p w14:paraId="6278B806" w14:textId="77777777" w:rsidR="00F26FC5" w:rsidRDefault="00F26FC5" w:rsidP="0042796F">
      <w:pPr>
        <w:spacing w:after="0" w:line="240" w:lineRule="auto"/>
        <w:contextualSpacing/>
        <w:rPr>
          <w:sz w:val="20"/>
          <w:szCs w:val="20"/>
        </w:rPr>
      </w:pPr>
      <w:r>
        <w:rPr>
          <w:sz w:val="20"/>
          <w:szCs w:val="20"/>
        </w:rPr>
        <w:instrText>10 Which polyps to worry about, how to recognize them and how they can/should be removed</w:instrText>
      </w:r>
    </w:p>
    <w:p w14:paraId="4C38BB16" w14:textId="77777777" w:rsidR="00F26FC5" w:rsidRDefault="00F26FC5" w:rsidP="0042796F">
      <w:pPr>
        <w:spacing w:after="0" w:line="240" w:lineRule="auto"/>
        <w:contextualSpacing/>
        <w:rPr>
          <w:sz w:val="20"/>
          <w:szCs w:val="20"/>
        </w:rPr>
      </w:pPr>
    </w:p>
    <w:p w14:paraId="376E0CF7" w14:textId="77777777" w:rsidR="00F26FC5" w:rsidRDefault="00F26FC5" w:rsidP="0042796F">
      <w:pPr>
        <w:spacing w:after="0" w:line="240" w:lineRule="auto"/>
        <w:contextualSpacing/>
        <w:rPr>
          <w:sz w:val="20"/>
          <w:szCs w:val="20"/>
        </w:rPr>
      </w:pPr>
      <w:r>
        <w:rPr>
          <w:sz w:val="20"/>
          <w:szCs w:val="20"/>
        </w:rPr>
        <w:instrText>Interval colorectal cancers could be reduced by over 85% by eliminating polyp miss rate and assuring complete polyp resection</w:instrText>
      </w:r>
    </w:p>
    <w:p w14:paraId="13F42EA2" w14:textId="77777777" w:rsidR="00F26FC5" w:rsidRDefault="00F26FC5" w:rsidP="0042796F">
      <w:pPr>
        <w:spacing w:after="0" w:line="240" w:lineRule="auto"/>
        <w:contextualSpacing/>
        <w:rPr>
          <w:sz w:val="20"/>
          <w:szCs w:val="20"/>
        </w:rPr>
      </w:pPr>
      <w:r>
        <w:rPr>
          <w:sz w:val="20"/>
          <w:szCs w:val="20"/>
        </w:rPr>
        <w:instrText>11 Incorporate advances in disease monitoring and quality metrics that should be utilized in the management of IBD patients</w:instrText>
      </w:r>
    </w:p>
    <w:p w14:paraId="19ADBA98" w14:textId="77777777" w:rsidR="00F26FC5" w:rsidRDefault="00F26FC5" w:rsidP="0042796F">
      <w:pPr>
        <w:spacing w:after="0" w:line="240" w:lineRule="auto"/>
        <w:contextualSpacing/>
        <w:rPr>
          <w:sz w:val="20"/>
          <w:szCs w:val="20"/>
        </w:rPr>
      </w:pPr>
    </w:p>
    <w:p w14:paraId="38DC2678" w14:textId="77777777" w:rsidR="00F26FC5" w:rsidRDefault="00F26FC5" w:rsidP="0042796F">
      <w:pPr>
        <w:spacing w:after="0" w:line="240" w:lineRule="auto"/>
        <w:contextualSpacing/>
        <w:rPr>
          <w:sz w:val="20"/>
          <w:szCs w:val="20"/>
        </w:rPr>
      </w:pPr>
      <w:r>
        <w:rPr>
          <w:sz w:val="20"/>
          <w:szCs w:val="20"/>
        </w:rPr>
        <w:instrText xml:space="preserve">Facilitate utilization of biologic drug monitoring to improve care of patients. </w:instrText>
      </w:r>
    </w:p>
    <w:p w14:paraId="70BCADD8" w14:textId="77777777" w:rsidR="00F26FC5" w:rsidRDefault="00F26FC5" w:rsidP="0042796F">
      <w:pPr>
        <w:spacing w:after="0" w:line="240" w:lineRule="auto"/>
        <w:contextualSpacing/>
        <w:rPr>
          <w:sz w:val="20"/>
          <w:szCs w:val="20"/>
        </w:rPr>
      </w:pPr>
      <w:r>
        <w:rPr>
          <w:sz w:val="20"/>
          <w:szCs w:val="20"/>
        </w:rPr>
        <w:instrText>12 Describe the medical and surgical management of perianal Crohn’s disease and know how to provide resources for patients</w:instrText>
      </w:r>
    </w:p>
    <w:p w14:paraId="11663906" w14:textId="77777777" w:rsidR="00F26FC5" w:rsidRDefault="00F26FC5" w:rsidP="0042796F">
      <w:pPr>
        <w:spacing w:after="0" w:line="240" w:lineRule="auto"/>
        <w:contextualSpacing/>
        <w:rPr>
          <w:sz w:val="20"/>
          <w:szCs w:val="20"/>
        </w:rPr>
      </w:pPr>
    </w:p>
    <w:p w14:paraId="19A650E8" w14:textId="77777777" w:rsidR="00F26FC5" w:rsidRDefault="00F26FC5" w:rsidP="0042796F">
      <w:pPr>
        <w:spacing w:after="0" w:line="240" w:lineRule="auto"/>
        <w:contextualSpacing/>
        <w:rPr>
          <w:sz w:val="20"/>
          <w:szCs w:val="20"/>
        </w:rPr>
      </w:pPr>
      <w:r>
        <w:rPr>
          <w:sz w:val="20"/>
          <w:szCs w:val="20"/>
        </w:rPr>
        <w:instrText>Improved non-operative and operative management of perianal Crohn’s disease as well as more referrals for specialized</w:instrText>
      </w:r>
    </w:p>
    <w:p w14:paraId="1C7A90D3" w14:textId="77777777" w:rsidR="00F26FC5" w:rsidRDefault="00F26FC5" w:rsidP="0042796F">
      <w:pPr>
        <w:spacing w:after="0" w:line="240" w:lineRule="auto"/>
        <w:contextualSpacing/>
        <w:rPr>
          <w:sz w:val="20"/>
          <w:szCs w:val="20"/>
        </w:rPr>
      </w:pPr>
      <w:r>
        <w:rPr>
          <w:sz w:val="20"/>
          <w:szCs w:val="20"/>
        </w:rPr>
        <w:instrText>13 Explain positioning of IBD Biologic therapies for Crohn’s disease and Ulcerative Colitis. Understanding when to refer to Tertiary care for complex cases</w:instrText>
      </w:r>
    </w:p>
    <w:p w14:paraId="2512BF80" w14:textId="77777777" w:rsidR="00F26FC5" w:rsidRDefault="00F26FC5" w:rsidP="0042796F">
      <w:pPr>
        <w:spacing w:after="0" w:line="240" w:lineRule="auto"/>
        <w:contextualSpacing/>
        <w:rPr>
          <w:sz w:val="20"/>
          <w:szCs w:val="20"/>
        </w:rPr>
      </w:pPr>
    </w:p>
    <w:p w14:paraId="5B496AF7" w14:textId="77777777" w:rsidR="00F26FC5" w:rsidRDefault="00F26FC5" w:rsidP="0042796F">
      <w:pPr>
        <w:spacing w:after="0" w:line="240" w:lineRule="auto"/>
        <w:contextualSpacing/>
        <w:rPr>
          <w:sz w:val="20"/>
          <w:szCs w:val="20"/>
        </w:rPr>
      </w:pPr>
      <w:r>
        <w:rPr>
          <w:sz w:val="20"/>
          <w:szCs w:val="20"/>
        </w:rPr>
        <w:instrText>Evidence based approach to choosing first, second and third line therapies.</w:instrText>
      </w:r>
    </w:p>
    <w:p w14:paraId="2A995AED" w14:textId="77777777" w:rsidR="00F26FC5" w:rsidRDefault="00F26FC5" w:rsidP="0042796F">
      <w:pPr>
        <w:spacing w:after="0" w:line="240" w:lineRule="auto"/>
        <w:contextualSpacing/>
        <w:rPr>
          <w:sz w:val="20"/>
          <w:szCs w:val="20"/>
        </w:rPr>
      </w:pPr>
      <w:r>
        <w:rPr>
          <w:sz w:val="20"/>
          <w:szCs w:val="20"/>
        </w:rPr>
        <w:instrText>14 Upon completion of this course, participants should be able to:</w:instrText>
      </w:r>
    </w:p>
    <w:p w14:paraId="5841FDBA" w14:textId="77777777" w:rsidR="00F26FC5" w:rsidRDefault="00F26FC5" w:rsidP="0042796F">
      <w:pPr>
        <w:spacing w:after="0" w:line="240" w:lineRule="auto"/>
        <w:contextualSpacing/>
        <w:rPr>
          <w:sz w:val="20"/>
          <w:szCs w:val="20"/>
        </w:rPr>
      </w:pPr>
      <w:r>
        <w:rPr>
          <w:sz w:val="20"/>
          <w:szCs w:val="20"/>
        </w:rPr>
        <w:instrText>• Screen, diagnose, and manage viral hepatitis B</w:instrText>
      </w:r>
    </w:p>
    <w:p w14:paraId="76AFBB48" w14:textId="77777777" w:rsidR="00F26FC5" w:rsidRDefault="00F26FC5" w:rsidP="0042796F">
      <w:pPr>
        <w:spacing w:after="0" w:line="240" w:lineRule="auto"/>
        <w:contextualSpacing/>
        <w:rPr>
          <w:sz w:val="20"/>
          <w:szCs w:val="20"/>
        </w:rPr>
      </w:pPr>
      <w:r>
        <w:rPr>
          <w:sz w:val="20"/>
          <w:szCs w:val="20"/>
        </w:rPr>
        <w:instrText>• Screen, diagnose, and manage viral hepatitis C</w:instrText>
      </w:r>
    </w:p>
    <w:p w14:paraId="4EB0BCE1" w14:textId="77777777" w:rsidR="00F26FC5" w:rsidRDefault="00F26FC5" w:rsidP="0042796F">
      <w:pPr>
        <w:spacing w:after="0" w:line="240" w:lineRule="auto"/>
        <w:contextualSpacing/>
        <w:rPr>
          <w:sz w:val="20"/>
          <w:szCs w:val="20"/>
        </w:rPr>
      </w:pPr>
      <w:r>
        <w:rPr>
          <w:sz w:val="20"/>
          <w:szCs w:val="20"/>
        </w:rPr>
        <w:instrText>• Diagnose and manage non-alcoholic fatty liver disease</w:instrText>
      </w:r>
    </w:p>
    <w:p w14:paraId="6D4AEA2A" w14:textId="77777777" w:rsidR="00F26FC5" w:rsidRDefault="00F26FC5" w:rsidP="0042796F">
      <w:pPr>
        <w:spacing w:after="0" w:line="240" w:lineRule="auto"/>
        <w:contextualSpacing/>
        <w:rPr>
          <w:sz w:val="20"/>
          <w:szCs w:val="20"/>
        </w:rPr>
      </w:pPr>
      <w:r>
        <w:rPr>
          <w:sz w:val="20"/>
          <w:szCs w:val="20"/>
        </w:rPr>
        <w:instrText>• Diagnose and Manage patients with hepatocellular carcinoma</w:instrText>
      </w:r>
    </w:p>
    <w:p w14:paraId="6E0632B5" w14:textId="77777777" w:rsidR="00F26FC5" w:rsidRDefault="00F26FC5" w:rsidP="0042796F">
      <w:pPr>
        <w:spacing w:after="0" w:line="240" w:lineRule="auto"/>
        <w:contextualSpacing/>
        <w:rPr>
          <w:sz w:val="20"/>
          <w:szCs w:val="20"/>
        </w:rPr>
      </w:pPr>
    </w:p>
    <w:p w14:paraId="7ED447DB" w14:textId="77777777" w:rsidR="00F26FC5" w:rsidRDefault="00F26FC5" w:rsidP="0042796F">
      <w:pPr>
        <w:spacing w:after="0" w:line="240" w:lineRule="auto"/>
        <w:contextualSpacing/>
        <w:rPr>
          <w:sz w:val="20"/>
          <w:szCs w:val="20"/>
        </w:rPr>
      </w:pPr>
      <w:r>
        <w:rPr>
          <w:sz w:val="20"/>
          <w:szCs w:val="20"/>
        </w:rPr>
        <w:instrText>By providing updated medical education, this CME program will improve the clinical knowledge and skills in managing those common chronic liver diseases.</w:instrText>
      </w:r>
    </w:p>
    <w:p w14:paraId="30D59160" w14:textId="77777777" w:rsidR="00F26FC5" w:rsidRDefault="00F26FC5" w:rsidP="0042796F">
      <w:pPr>
        <w:spacing w:after="0" w:line="240" w:lineRule="auto"/>
        <w:contextualSpacing/>
        <w:rPr>
          <w:sz w:val="20"/>
          <w:szCs w:val="20"/>
        </w:rPr>
      </w:pPr>
      <w:r>
        <w:rPr>
          <w:sz w:val="20"/>
          <w:szCs w:val="20"/>
        </w:rPr>
        <w:instrText xml:space="preserve">15 Understand the risks, benefits and appropriate utilization of the contemporary medical, surgical and endoscopic therapies for GERD patients. </w:instrText>
      </w:r>
    </w:p>
    <w:p w14:paraId="0C36CA3F" w14:textId="77777777" w:rsidR="00F26FC5" w:rsidRDefault="00F26FC5" w:rsidP="0042796F">
      <w:pPr>
        <w:spacing w:after="0" w:line="240" w:lineRule="auto"/>
        <w:contextualSpacing/>
        <w:rPr>
          <w:sz w:val="20"/>
          <w:szCs w:val="20"/>
        </w:rPr>
      </w:pPr>
    </w:p>
    <w:p w14:paraId="2CF99978" w14:textId="77777777" w:rsidR="00F26FC5" w:rsidRDefault="00F26FC5" w:rsidP="0042796F">
      <w:pPr>
        <w:spacing w:after="0" w:line="240" w:lineRule="auto"/>
        <w:contextualSpacing/>
        <w:rPr>
          <w:sz w:val="20"/>
          <w:szCs w:val="20"/>
        </w:rPr>
      </w:pPr>
      <w:r>
        <w:rPr>
          <w:sz w:val="20"/>
          <w:szCs w:val="20"/>
        </w:rPr>
        <w:instrText>Evidence based approach to choosing between medical, endoscopic and surgical therapy for patients with GERD</w:instrText>
      </w:r>
    </w:p>
    <w:p w14:paraId="7E816E7A" w14:textId="77777777" w:rsidR="00F26FC5" w:rsidRDefault="00F26FC5" w:rsidP="0042796F">
      <w:pPr>
        <w:spacing w:after="0" w:line="240" w:lineRule="auto"/>
        <w:contextualSpacing/>
        <w:rPr>
          <w:sz w:val="20"/>
          <w:szCs w:val="20"/>
        </w:rPr>
      </w:pPr>
      <w:r>
        <w:rPr>
          <w:sz w:val="20"/>
          <w:szCs w:val="20"/>
        </w:rPr>
        <w:instrText>16 Understanding the risk of progression of pancreatic cysts.  Understanding an evidence based approach to choosing an imaging modality for pancreatic cyst surveillance</w:instrText>
      </w:r>
    </w:p>
    <w:p w14:paraId="46782F03" w14:textId="77777777" w:rsidR="00F26FC5" w:rsidRDefault="00F26FC5" w:rsidP="0042796F">
      <w:pPr>
        <w:spacing w:after="0" w:line="240" w:lineRule="auto"/>
        <w:contextualSpacing/>
        <w:rPr>
          <w:sz w:val="20"/>
          <w:szCs w:val="20"/>
        </w:rPr>
      </w:pPr>
      <w:r>
        <w:rPr>
          <w:sz w:val="20"/>
          <w:szCs w:val="20"/>
        </w:rPr>
        <w:instrText>Understanding the appropriate approach for when to send pancreatic cysts for surgical resection</w:instrText>
      </w:r>
    </w:p>
    <w:p w14:paraId="0BB06720" w14:textId="77777777" w:rsidR="00F26FC5" w:rsidRDefault="00F26FC5" w:rsidP="0042796F">
      <w:pPr>
        <w:spacing w:after="0" w:line="240" w:lineRule="auto"/>
        <w:contextualSpacing/>
        <w:rPr>
          <w:sz w:val="20"/>
          <w:szCs w:val="20"/>
        </w:rPr>
      </w:pPr>
    </w:p>
    <w:p w14:paraId="0970F2B9" w14:textId="77777777" w:rsidR="00F26FC5" w:rsidRDefault="00F26FC5" w:rsidP="0042796F">
      <w:pPr>
        <w:spacing w:after="0" w:line="240" w:lineRule="auto"/>
        <w:contextualSpacing/>
        <w:rPr>
          <w:sz w:val="20"/>
          <w:szCs w:val="20"/>
        </w:rPr>
      </w:pPr>
      <w:r>
        <w:rPr>
          <w:sz w:val="20"/>
          <w:szCs w:val="20"/>
        </w:rPr>
        <w:instrText>Evidence based approach to choosing an imaging modality for pancreatic cyst surveillance and an approach for when to send pancreatic cysts for surgical resection</w:instrText>
      </w:r>
    </w:p>
    <w:p w14:paraId="4D1C4A3F" w14:textId="77777777" w:rsidR="00F26FC5" w:rsidRDefault="00F26FC5" w:rsidP="0042796F">
      <w:pPr>
        <w:spacing w:after="0" w:line="240" w:lineRule="auto"/>
        <w:contextualSpacing/>
        <w:rPr>
          <w:sz w:val="20"/>
          <w:szCs w:val="20"/>
        </w:rPr>
      </w:pPr>
      <w:r>
        <w:rPr>
          <w:sz w:val="20"/>
          <w:szCs w:val="20"/>
        </w:rPr>
        <w:instrText>17 Evidence base approach to understanding the pros and cons of novel weight loss and bariatric options.</w:instrText>
      </w:r>
    </w:p>
    <w:p w14:paraId="51591EB7" w14:textId="77777777" w:rsidR="00F26FC5" w:rsidRDefault="00F26FC5" w:rsidP="0042796F">
      <w:pPr>
        <w:spacing w:after="0" w:line="240" w:lineRule="auto"/>
        <w:contextualSpacing/>
        <w:rPr>
          <w:sz w:val="20"/>
          <w:szCs w:val="20"/>
        </w:rPr>
      </w:pPr>
      <w:r>
        <w:rPr>
          <w:sz w:val="20"/>
          <w:szCs w:val="20"/>
        </w:rPr>
        <w:instrText>" &lt;&gt; "" "</w:instrText>
      </w:r>
    </w:p>
    <w:p w14:paraId="62FC256D" w14:textId="77777777" w:rsidR="00F26FC5" w:rsidRDefault="00F26FC5" w:rsidP="004F716E">
      <w:pPr>
        <w:spacing w:after="0" w:line="240" w:lineRule="auto"/>
        <w:contextualSpacing/>
        <w:rPr>
          <w:sz w:val="20"/>
          <w:szCs w:val="20"/>
        </w:rPr>
      </w:pPr>
    </w:p>
    <w:p w14:paraId="7E34A35B" w14:textId="77777777" w:rsidR="00F26FC5" w:rsidRDefault="00F26FC5" w:rsidP="004F716E">
      <w:pPr>
        <w:spacing w:after="0" w:line="240" w:lineRule="auto"/>
        <w:contextualSpacing/>
        <w:rPr>
          <w:sz w:val="24"/>
          <w:szCs w:val="24"/>
        </w:rPr>
      </w:pPr>
      <w:r>
        <w:rPr>
          <w:b/>
          <w:bCs/>
          <w:sz w:val="24"/>
          <w:szCs w:val="24"/>
        </w:rPr>
        <w:instrText>Activity Objectives</w:instrText>
      </w:r>
    </w:p>
    <w:p w14:paraId="446BD551" w14:textId="77777777" w:rsidR="00F26FC5" w:rsidRDefault="00F26FC5" w:rsidP="0042796F">
      <w:pPr>
        <w:spacing w:after="0" w:line="240" w:lineRule="auto"/>
        <w:contextualSpacing/>
        <w:rPr>
          <w:noProof/>
          <w:sz w:val="20"/>
          <w:szCs w:val="20"/>
        </w:rPr>
      </w:pPr>
      <w:r>
        <w:rPr>
          <w:sz w:val="24"/>
          <w:szCs w:val="24"/>
        </w:rPr>
        <w:instrText>1 This program will provide, thorough formal lectures, question-and-answer sessions and a hands-on workshop, updates on new approaches in the diagnosis and management of gastrointestinal, liver diseases and cancer for invasive and non-invasive methods. The methods include case-based discussion, lecture, panel, simulation, and skill-based training.</w:instrText>
      </w:r>
    </w:p>
    <w:p w14:paraId="77E3569E" w14:textId="77777777" w:rsidR="00885ACF" w:rsidRDefault="00F26FC5" w:rsidP="0042796F">
      <w:pPr>
        <w:spacing w:after="0" w:line="240" w:lineRule="auto"/>
        <w:contextualSpacing/>
        <w:rPr>
          <w:sz w:val="24"/>
          <w:szCs w:val="24"/>
        </w:rPr>
      </w:pPr>
      <w:r>
        <w:rPr>
          <w:sz w:val="24"/>
          <w:szCs w:val="24"/>
        </w:rPr>
        <w:instrText>2 Learn to manage biologic therapy around the time of surgery</w:instrText>
      </w:r>
    </w:p>
    <w:p w14:paraId="677EF590" w14:textId="77777777" w:rsidR="00885ACF" w:rsidRDefault="00885ACF" w:rsidP="0042796F">
      <w:pPr>
        <w:spacing w:after="0" w:line="240" w:lineRule="auto"/>
        <w:contextualSpacing/>
        <w:rPr>
          <w:sz w:val="24"/>
          <w:szCs w:val="24"/>
        </w:rPr>
      </w:pPr>
    </w:p>
    <w:p w14:paraId="0C9F936C" w14:textId="77777777" w:rsidR="00885ACF" w:rsidRDefault="00F26FC5" w:rsidP="0042796F">
      <w:pPr>
        <w:spacing w:after="0" w:line="240" w:lineRule="auto"/>
        <w:contextualSpacing/>
        <w:rPr>
          <w:sz w:val="24"/>
          <w:szCs w:val="24"/>
        </w:rPr>
      </w:pPr>
      <w:r>
        <w:rPr>
          <w:sz w:val="24"/>
          <w:szCs w:val="24"/>
        </w:rPr>
        <w:instrText>Improving knowledge about management of biologic therapy during surgery</w:instrText>
      </w:r>
    </w:p>
    <w:p w14:paraId="60E73E3F" w14:textId="77777777" w:rsidR="00885ACF" w:rsidRDefault="00F26FC5" w:rsidP="0042796F">
      <w:pPr>
        <w:spacing w:after="0" w:line="240" w:lineRule="auto"/>
        <w:contextualSpacing/>
        <w:rPr>
          <w:sz w:val="24"/>
          <w:szCs w:val="24"/>
        </w:rPr>
      </w:pPr>
      <w:r>
        <w:rPr>
          <w:sz w:val="24"/>
          <w:szCs w:val="24"/>
        </w:rPr>
        <w:instrText>3 Understand optimization of medical therapy for inflammatory bowel disease</w:instrText>
      </w:r>
    </w:p>
    <w:p w14:paraId="224BD094" w14:textId="77777777" w:rsidR="00885ACF" w:rsidRDefault="00885ACF" w:rsidP="0042796F">
      <w:pPr>
        <w:spacing w:after="0" w:line="240" w:lineRule="auto"/>
        <w:contextualSpacing/>
        <w:rPr>
          <w:sz w:val="24"/>
          <w:szCs w:val="24"/>
        </w:rPr>
      </w:pPr>
    </w:p>
    <w:p w14:paraId="518D8180" w14:textId="77777777" w:rsidR="00885ACF" w:rsidRDefault="00F26FC5" w:rsidP="0042796F">
      <w:pPr>
        <w:spacing w:after="0" w:line="240" w:lineRule="auto"/>
        <w:contextualSpacing/>
        <w:rPr>
          <w:sz w:val="24"/>
          <w:szCs w:val="24"/>
        </w:rPr>
      </w:pPr>
      <w:r>
        <w:rPr>
          <w:sz w:val="24"/>
          <w:szCs w:val="24"/>
        </w:rPr>
        <w:instrText>Start to use lab testing to check drug levels.</w:instrText>
      </w:r>
    </w:p>
    <w:p w14:paraId="3CADED22" w14:textId="77777777" w:rsidR="00885ACF" w:rsidRDefault="00885ACF" w:rsidP="0042796F">
      <w:pPr>
        <w:spacing w:after="0" w:line="240" w:lineRule="auto"/>
        <w:contextualSpacing/>
        <w:rPr>
          <w:sz w:val="24"/>
          <w:szCs w:val="24"/>
        </w:rPr>
      </w:pPr>
    </w:p>
    <w:p w14:paraId="776EFED3" w14:textId="77777777" w:rsidR="00885ACF" w:rsidRDefault="00F26FC5" w:rsidP="0042796F">
      <w:pPr>
        <w:spacing w:after="0" w:line="240" w:lineRule="auto"/>
        <w:contextualSpacing/>
        <w:rPr>
          <w:sz w:val="24"/>
          <w:szCs w:val="24"/>
        </w:rPr>
      </w:pPr>
      <w:r>
        <w:rPr>
          <w:sz w:val="24"/>
          <w:szCs w:val="24"/>
        </w:rPr>
        <w:instrText>4 Review new drug therapies for Crohn's disease</w:instrText>
      </w:r>
    </w:p>
    <w:p w14:paraId="7832DDCF" w14:textId="77777777" w:rsidR="00885ACF" w:rsidRDefault="00885ACF" w:rsidP="0042796F">
      <w:pPr>
        <w:spacing w:after="0" w:line="240" w:lineRule="auto"/>
        <w:contextualSpacing/>
        <w:rPr>
          <w:sz w:val="24"/>
          <w:szCs w:val="24"/>
        </w:rPr>
      </w:pPr>
    </w:p>
    <w:p w14:paraId="52744376" w14:textId="77777777" w:rsidR="00885ACF" w:rsidRDefault="00F26FC5" w:rsidP="0042796F">
      <w:pPr>
        <w:spacing w:after="0" w:line="240" w:lineRule="auto"/>
        <w:contextualSpacing/>
        <w:rPr>
          <w:sz w:val="24"/>
          <w:szCs w:val="24"/>
        </w:rPr>
      </w:pPr>
      <w:r>
        <w:rPr>
          <w:sz w:val="24"/>
          <w:szCs w:val="24"/>
        </w:rPr>
        <w:instrText>Develop better understanding of which therapies to use for Crohn's disease as we get more options</w:instrText>
      </w:r>
    </w:p>
    <w:p w14:paraId="514CEA0C" w14:textId="77777777" w:rsidR="00885ACF" w:rsidRDefault="00F26FC5" w:rsidP="0042796F">
      <w:pPr>
        <w:spacing w:after="0" w:line="240" w:lineRule="auto"/>
        <w:contextualSpacing/>
        <w:rPr>
          <w:sz w:val="24"/>
          <w:szCs w:val="24"/>
        </w:rPr>
      </w:pPr>
      <w:r>
        <w:rPr>
          <w:sz w:val="24"/>
          <w:szCs w:val="24"/>
        </w:rPr>
        <w:instrText>5 Discuss cancer risk in the IBD patient</w:instrText>
      </w:r>
    </w:p>
    <w:p w14:paraId="0EBBA295" w14:textId="77777777" w:rsidR="00885ACF" w:rsidRDefault="00885ACF" w:rsidP="0042796F">
      <w:pPr>
        <w:spacing w:after="0" w:line="240" w:lineRule="auto"/>
        <w:contextualSpacing/>
        <w:rPr>
          <w:sz w:val="24"/>
          <w:szCs w:val="24"/>
        </w:rPr>
      </w:pPr>
    </w:p>
    <w:p w14:paraId="4F58E7E6" w14:textId="77777777" w:rsidR="00885ACF" w:rsidRDefault="00F26FC5" w:rsidP="0042796F">
      <w:pPr>
        <w:spacing w:after="0" w:line="240" w:lineRule="auto"/>
        <w:contextualSpacing/>
        <w:rPr>
          <w:sz w:val="24"/>
          <w:szCs w:val="24"/>
        </w:rPr>
      </w:pPr>
      <w:r>
        <w:rPr>
          <w:sz w:val="24"/>
          <w:szCs w:val="24"/>
        </w:rPr>
        <w:instrText>Ability to discuss risk of cancer development in patients with IBD as well as more biologic and immunomodulator therapy</w:instrText>
      </w:r>
    </w:p>
    <w:p w14:paraId="20C53E1F" w14:textId="77777777" w:rsidR="00885ACF" w:rsidRDefault="00F26FC5" w:rsidP="0042796F">
      <w:pPr>
        <w:spacing w:after="0" w:line="240" w:lineRule="auto"/>
        <w:contextualSpacing/>
        <w:rPr>
          <w:sz w:val="24"/>
          <w:szCs w:val="24"/>
        </w:rPr>
      </w:pPr>
      <w:r>
        <w:rPr>
          <w:sz w:val="24"/>
          <w:szCs w:val="24"/>
        </w:rPr>
        <w:instrText>6 Discuss what’s new in management of biliary and pancreatic diseases</w:instrText>
      </w:r>
    </w:p>
    <w:p w14:paraId="49ECDD63" w14:textId="77777777" w:rsidR="00885ACF" w:rsidRDefault="00885ACF" w:rsidP="0042796F">
      <w:pPr>
        <w:spacing w:after="0" w:line="240" w:lineRule="auto"/>
        <w:contextualSpacing/>
        <w:rPr>
          <w:sz w:val="24"/>
          <w:szCs w:val="24"/>
        </w:rPr>
      </w:pPr>
    </w:p>
    <w:p w14:paraId="1EF60CAA" w14:textId="77777777" w:rsidR="00885ACF" w:rsidRDefault="00F26FC5" w:rsidP="0042796F">
      <w:pPr>
        <w:spacing w:after="0" w:line="240" w:lineRule="auto"/>
        <w:contextualSpacing/>
        <w:rPr>
          <w:sz w:val="24"/>
          <w:szCs w:val="24"/>
        </w:rPr>
      </w:pPr>
      <w:r>
        <w:rPr>
          <w:sz w:val="24"/>
          <w:szCs w:val="24"/>
        </w:rPr>
        <w:instrText>Understand the latest developments in management of biliary and pancreatic diseases</w:instrText>
      </w:r>
    </w:p>
    <w:p w14:paraId="6050863C" w14:textId="77777777" w:rsidR="00885ACF" w:rsidRDefault="00F26FC5" w:rsidP="0042796F">
      <w:pPr>
        <w:spacing w:after="0" w:line="240" w:lineRule="auto"/>
        <w:contextualSpacing/>
        <w:rPr>
          <w:sz w:val="24"/>
          <w:szCs w:val="24"/>
        </w:rPr>
      </w:pPr>
      <w:r>
        <w:rPr>
          <w:sz w:val="24"/>
          <w:szCs w:val="24"/>
        </w:rPr>
        <w:instrText>7 To define evidence based approaches towards the diagnosis and treatment of non-cardiac chest pain, belching and potential extra-esophageal symptoms of GERD</w:instrText>
      </w:r>
    </w:p>
    <w:p w14:paraId="0C3A99A5" w14:textId="77777777" w:rsidR="00885ACF" w:rsidRDefault="00885ACF" w:rsidP="0042796F">
      <w:pPr>
        <w:spacing w:after="0" w:line="240" w:lineRule="auto"/>
        <w:contextualSpacing/>
        <w:rPr>
          <w:sz w:val="24"/>
          <w:szCs w:val="24"/>
        </w:rPr>
      </w:pPr>
    </w:p>
    <w:p w14:paraId="3F250D5B" w14:textId="77777777" w:rsidR="00885ACF" w:rsidRDefault="00F26FC5" w:rsidP="0042796F">
      <w:pPr>
        <w:spacing w:after="0" w:line="240" w:lineRule="auto"/>
        <w:contextualSpacing/>
        <w:rPr>
          <w:sz w:val="24"/>
          <w:szCs w:val="24"/>
        </w:rPr>
      </w:pPr>
      <w:r>
        <w:rPr>
          <w:sz w:val="24"/>
          <w:szCs w:val="24"/>
        </w:rPr>
        <w:instrText>Evidence for and against GERD as a potential cause of chest pain, laryngopharyngeal symptoms and belching</w:instrText>
      </w:r>
    </w:p>
    <w:p w14:paraId="0B7E41AA" w14:textId="77777777" w:rsidR="00885ACF" w:rsidRDefault="00F26FC5" w:rsidP="0042796F">
      <w:pPr>
        <w:spacing w:after="0" w:line="240" w:lineRule="auto"/>
        <w:contextualSpacing/>
        <w:rPr>
          <w:sz w:val="24"/>
          <w:szCs w:val="24"/>
        </w:rPr>
      </w:pPr>
      <w:r>
        <w:rPr>
          <w:sz w:val="24"/>
          <w:szCs w:val="24"/>
        </w:rPr>
        <w:instrText>Evidence for and against GERD therapies for the same symptoms.</w:instrText>
      </w:r>
    </w:p>
    <w:p w14:paraId="05A9D5ED" w14:textId="77777777" w:rsidR="00885ACF" w:rsidRDefault="00885ACF" w:rsidP="0042796F">
      <w:pPr>
        <w:spacing w:after="0" w:line="240" w:lineRule="auto"/>
        <w:contextualSpacing/>
        <w:rPr>
          <w:sz w:val="24"/>
          <w:szCs w:val="24"/>
        </w:rPr>
      </w:pPr>
    </w:p>
    <w:p w14:paraId="5F809D4B" w14:textId="77777777" w:rsidR="00885ACF" w:rsidRDefault="00F26FC5" w:rsidP="0042796F">
      <w:pPr>
        <w:spacing w:after="0" w:line="240" w:lineRule="auto"/>
        <w:contextualSpacing/>
        <w:rPr>
          <w:sz w:val="24"/>
          <w:szCs w:val="24"/>
        </w:rPr>
      </w:pPr>
      <w:r>
        <w:rPr>
          <w:sz w:val="24"/>
          <w:szCs w:val="24"/>
        </w:rPr>
        <w:instrText>8 Review current diagnostic and treatment paradigms for Barrett’s and esophageal cancer</w:instrText>
      </w:r>
    </w:p>
    <w:p w14:paraId="641F28ED" w14:textId="77777777" w:rsidR="00885ACF" w:rsidRDefault="00F26FC5" w:rsidP="0042796F">
      <w:pPr>
        <w:spacing w:after="0" w:line="240" w:lineRule="auto"/>
        <w:contextualSpacing/>
        <w:rPr>
          <w:sz w:val="24"/>
          <w:szCs w:val="24"/>
        </w:rPr>
      </w:pPr>
      <w:r>
        <w:rPr>
          <w:sz w:val="24"/>
          <w:szCs w:val="24"/>
        </w:rPr>
        <w:instrText>Develop the ideal future paradigm for detecting and treating Barrett’s and esophageal cancer.</w:instrText>
      </w:r>
    </w:p>
    <w:p w14:paraId="1A71EE68" w14:textId="77777777" w:rsidR="00885ACF" w:rsidRDefault="00885ACF" w:rsidP="0042796F">
      <w:pPr>
        <w:spacing w:after="0" w:line="240" w:lineRule="auto"/>
        <w:contextualSpacing/>
        <w:rPr>
          <w:sz w:val="24"/>
          <w:szCs w:val="24"/>
        </w:rPr>
      </w:pPr>
    </w:p>
    <w:p w14:paraId="1FD3CB3F" w14:textId="77777777" w:rsidR="00885ACF" w:rsidRDefault="00F26FC5" w:rsidP="0042796F">
      <w:pPr>
        <w:spacing w:after="0" w:line="240" w:lineRule="auto"/>
        <w:contextualSpacing/>
        <w:rPr>
          <w:sz w:val="24"/>
          <w:szCs w:val="24"/>
        </w:rPr>
      </w:pPr>
      <w:r>
        <w:rPr>
          <w:sz w:val="24"/>
          <w:szCs w:val="24"/>
        </w:rPr>
        <w:instrText>Current diagnostic and treatment paradigms for Barrett’s cancer</w:instrText>
      </w:r>
    </w:p>
    <w:p w14:paraId="1B2903F5" w14:textId="77777777" w:rsidR="00885ACF" w:rsidRDefault="00F26FC5" w:rsidP="0042796F">
      <w:pPr>
        <w:spacing w:after="0" w:line="240" w:lineRule="auto"/>
        <w:contextualSpacing/>
        <w:rPr>
          <w:sz w:val="24"/>
          <w:szCs w:val="24"/>
        </w:rPr>
      </w:pPr>
      <w:r>
        <w:rPr>
          <w:sz w:val="24"/>
          <w:szCs w:val="24"/>
        </w:rPr>
        <w:instrText>9 To determine whether endoscopic therapies (TIF, Stretta, Overstitch) provide equivalent outcomes compared with anti-reflux surgery</w:instrText>
      </w:r>
    </w:p>
    <w:p w14:paraId="0F89A034" w14:textId="77777777" w:rsidR="00885ACF" w:rsidRDefault="00F26FC5" w:rsidP="0042796F">
      <w:pPr>
        <w:spacing w:after="0" w:line="240" w:lineRule="auto"/>
        <w:contextualSpacing/>
        <w:rPr>
          <w:sz w:val="24"/>
          <w:szCs w:val="24"/>
        </w:rPr>
      </w:pPr>
      <w:r>
        <w:rPr>
          <w:sz w:val="24"/>
          <w:szCs w:val="24"/>
        </w:rPr>
        <w:instrText xml:space="preserve">To determine the individual factors for choosing between endoscopic </w:instrText>
      </w:r>
    </w:p>
    <w:p w14:paraId="2DD3A855" w14:textId="77777777" w:rsidR="00885ACF" w:rsidRDefault="00885ACF" w:rsidP="0042796F">
      <w:pPr>
        <w:spacing w:after="0" w:line="240" w:lineRule="auto"/>
        <w:contextualSpacing/>
        <w:rPr>
          <w:sz w:val="24"/>
          <w:szCs w:val="24"/>
        </w:rPr>
      </w:pPr>
    </w:p>
    <w:p w14:paraId="2BED9C9F" w14:textId="77777777" w:rsidR="00885ACF" w:rsidRDefault="00F26FC5" w:rsidP="0042796F">
      <w:pPr>
        <w:spacing w:after="0" w:line="240" w:lineRule="auto"/>
        <w:contextualSpacing/>
        <w:rPr>
          <w:sz w:val="24"/>
          <w:szCs w:val="24"/>
        </w:rPr>
      </w:pPr>
      <w:r>
        <w:rPr>
          <w:sz w:val="24"/>
          <w:szCs w:val="24"/>
        </w:rPr>
        <w:instrText>Evidence for traditional surgery for GERD</w:instrText>
      </w:r>
    </w:p>
    <w:p w14:paraId="559E4E23" w14:textId="77777777" w:rsidR="00885ACF" w:rsidRDefault="00885ACF" w:rsidP="0042796F">
      <w:pPr>
        <w:spacing w:after="0" w:line="240" w:lineRule="auto"/>
        <w:contextualSpacing/>
        <w:rPr>
          <w:sz w:val="24"/>
          <w:szCs w:val="24"/>
        </w:rPr>
      </w:pPr>
    </w:p>
    <w:p w14:paraId="35286E68" w14:textId="77777777" w:rsidR="00885ACF" w:rsidRDefault="00F26FC5" w:rsidP="0042796F">
      <w:pPr>
        <w:spacing w:after="0" w:line="240" w:lineRule="auto"/>
        <w:contextualSpacing/>
        <w:rPr>
          <w:sz w:val="24"/>
          <w:szCs w:val="24"/>
        </w:rPr>
      </w:pPr>
      <w:r>
        <w:rPr>
          <w:sz w:val="24"/>
          <w:szCs w:val="24"/>
        </w:rPr>
        <w:instrText>Review of current literature regarding endoscopic therapies for GERD</w:instrText>
      </w:r>
    </w:p>
    <w:p w14:paraId="6B204F84" w14:textId="77777777" w:rsidR="00885ACF" w:rsidRDefault="00885ACF" w:rsidP="0042796F">
      <w:pPr>
        <w:spacing w:after="0" w:line="240" w:lineRule="auto"/>
        <w:contextualSpacing/>
        <w:rPr>
          <w:sz w:val="24"/>
          <w:szCs w:val="24"/>
        </w:rPr>
      </w:pPr>
    </w:p>
    <w:p w14:paraId="51975C95" w14:textId="77777777" w:rsidR="00885ACF" w:rsidRDefault="00F26FC5" w:rsidP="0042796F">
      <w:pPr>
        <w:spacing w:after="0" w:line="240" w:lineRule="auto"/>
        <w:contextualSpacing/>
        <w:rPr>
          <w:sz w:val="24"/>
          <w:szCs w:val="24"/>
        </w:rPr>
      </w:pPr>
      <w:r>
        <w:rPr>
          <w:sz w:val="24"/>
          <w:szCs w:val="24"/>
        </w:rPr>
        <w:instrText>10 Which polyps to worry about, how to recognize them and how they can/should be removed</w:instrText>
      </w:r>
    </w:p>
    <w:p w14:paraId="36C7B40B" w14:textId="77777777" w:rsidR="00885ACF" w:rsidRDefault="00885ACF" w:rsidP="0042796F">
      <w:pPr>
        <w:spacing w:after="0" w:line="240" w:lineRule="auto"/>
        <w:contextualSpacing/>
        <w:rPr>
          <w:sz w:val="24"/>
          <w:szCs w:val="24"/>
        </w:rPr>
      </w:pPr>
    </w:p>
    <w:p w14:paraId="2652E3C3" w14:textId="77777777" w:rsidR="00885ACF" w:rsidRDefault="00F26FC5" w:rsidP="0042796F">
      <w:pPr>
        <w:spacing w:after="0" w:line="240" w:lineRule="auto"/>
        <w:contextualSpacing/>
        <w:rPr>
          <w:sz w:val="24"/>
          <w:szCs w:val="24"/>
        </w:rPr>
      </w:pPr>
      <w:r>
        <w:rPr>
          <w:sz w:val="24"/>
          <w:szCs w:val="24"/>
        </w:rPr>
        <w:instrText>Interval colorectal cancers could be reduced by over 85% by eliminating polyp miss rate and assuring complete polyp resection</w:instrText>
      </w:r>
    </w:p>
    <w:p w14:paraId="54F87A8B" w14:textId="77777777" w:rsidR="00885ACF" w:rsidRDefault="00F26FC5" w:rsidP="0042796F">
      <w:pPr>
        <w:spacing w:after="0" w:line="240" w:lineRule="auto"/>
        <w:contextualSpacing/>
        <w:rPr>
          <w:sz w:val="24"/>
          <w:szCs w:val="24"/>
        </w:rPr>
      </w:pPr>
      <w:r>
        <w:rPr>
          <w:sz w:val="24"/>
          <w:szCs w:val="24"/>
        </w:rPr>
        <w:instrText>11 Incorporate advances in disease monitoring and quality metrics that should be utilized in the management of IBD patients</w:instrText>
      </w:r>
    </w:p>
    <w:p w14:paraId="5B820401" w14:textId="77777777" w:rsidR="00885ACF" w:rsidRDefault="00885ACF" w:rsidP="0042796F">
      <w:pPr>
        <w:spacing w:after="0" w:line="240" w:lineRule="auto"/>
        <w:contextualSpacing/>
        <w:rPr>
          <w:sz w:val="24"/>
          <w:szCs w:val="24"/>
        </w:rPr>
      </w:pPr>
    </w:p>
    <w:p w14:paraId="25E08E94" w14:textId="77777777" w:rsidR="00885ACF" w:rsidRDefault="00F26FC5" w:rsidP="0042796F">
      <w:pPr>
        <w:spacing w:after="0" w:line="240" w:lineRule="auto"/>
        <w:contextualSpacing/>
        <w:rPr>
          <w:sz w:val="24"/>
          <w:szCs w:val="24"/>
        </w:rPr>
      </w:pPr>
      <w:r>
        <w:rPr>
          <w:sz w:val="24"/>
          <w:szCs w:val="24"/>
        </w:rPr>
        <w:instrText xml:space="preserve">Facilitate utilization of biologic drug monitoring to improve care of patients. </w:instrText>
      </w:r>
    </w:p>
    <w:p w14:paraId="32CA930A" w14:textId="77777777" w:rsidR="00885ACF" w:rsidRDefault="00F26FC5" w:rsidP="0042796F">
      <w:pPr>
        <w:spacing w:after="0" w:line="240" w:lineRule="auto"/>
        <w:contextualSpacing/>
        <w:rPr>
          <w:sz w:val="24"/>
          <w:szCs w:val="24"/>
        </w:rPr>
      </w:pPr>
      <w:r>
        <w:rPr>
          <w:sz w:val="24"/>
          <w:szCs w:val="24"/>
        </w:rPr>
        <w:instrText>12 Describe the medical and surgical management of perianal Crohn’s disease and know how to provide resources for patients</w:instrText>
      </w:r>
    </w:p>
    <w:p w14:paraId="2077C738" w14:textId="77777777" w:rsidR="00885ACF" w:rsidRDefault="00885ACF" w:rsidP="0042796F">
      <w:pPr>
        <w:spacing w:after="0" w:line="240" w:lineRule="auto"/>
        <w:contextualSpacing/>
        <w:rPr>
          <w:sz w:val="24"/>
          <w:szCs w:val="24"/>
        </w:rPr>
      </w:pPr>
    </w:p>
    <w:p w14:paraId="2E2267FE" w14:textId="77777777" w:rsidR="00885ACF" w:rsidRDefault="00F26FC5" w:rsidP="0042796F">
      <w:pPr>
        <w:spacing w:after="0" w:line="240" w:lineRule="auto"/>
        <w:contextualSpacing/>
        <w:rPr>
          <w:sz w:val="24"/>
          <w:szCs w:val="24"/>
        </w:rPr>
      </w:pPr>
      <w:r>
        <w:rPr>
          <w:sz w:val="24"/>
          <w:szCs w:val="24"/>
        </w:rPr>
        <w:instrText>Improved non-operative and operative management of perianal Crohn’s disease as well as more referrals for specialized</w:instrText>
      </w:r>
    </w:p>
    <w:p w14:paraId="78FC3B09" w14:textId="77777777" w:rsidR="00885ACF" w:rsidRDefault="00F26FC5" w:rsidP="0042796F">
      <w:pPr>
        <w:spacing w:after="0" w:line="240" w:lineRule="auto"/>
        <w:contextualSpacing/>
        <w:rPr>
          <w:sz w:val="24"/>
          <w:szCs w:val="24"/>
        </w:rPr>
      </w:pPr>
      <w:r>
        <w:rPr>
          <w:sz w:val="24"/>
          <w:szCs w:val="24"/>
        </w:rPr>
        <w:instrText>13 Explain positioning of IBD Biologic therapies for Crohn’s disease and Ulcerative Colitis. Understanding when to refer to Tertiary care for complex cases</w:instrText>
      </w:r>
    </w:p>
    <w:p w14:paraId="7F71B835" w14:textId="77777777" w:rsidR="00885ACF" w:rsidRDefault="00885ACF" w:rsidP="0042796F">
      <w:pPr>
        <w:spacing w:after="0" w:line="240" w:lineRule="auto"/>
        <w:contextualSpacing/>
        <w:rPr>
          <w:sz w:val="24"/>
          <w:szCs w:val="24"/>
        </w:rPr>
      </w:pPr>
    </w:p>
    <w:p w14:paraId="48B4D7D8" w14:textId="77777777" w:rsidR="00885ACF" w:rsidRDefault="00F26FC5" w:rsidP="0042796F">
      <w:pPr>
        <w:spacing w:after="0" w:line="240" w:lineRule="auto"/>
        <w:contextualSpacing/>
        <w:rPr>
          <w:sz w:val="24"/>
          <w:szCs w:val="24"/>
        </w:rPr>
      </w:pPr>
      <w:r>
        <w:rPr>
          <w:sz w:val="24"/>
          <w:szCs w:val="24"/>
        </w:rPr>
        <w:instrText>Evidence based approach to choosing first, second and third line therapies.</w:instrText>
      </w:r>
    </w:p>
    <w:p w14:paraId="5CC9466B" w14:textId="77777777" w:rsidR="00885ACF" w:rsidRDefault="00F26FC5" w:rsidP="0042796F">
      <w:pPr>
        <w:spacing w:after="0" w:line="240" w:lineRule="auto"/>
        <w:contextualSpacing/>
        <w:rPr>
          <w:sz w:val="24"/>
          <w:szCs w:val="24"/>
        </w:rPr>
      </w:pPr>
      <w:r>
        <w:rPr>
          <w:sz w:val="24"/>
          <w:szCs w:val="24"/>
        </w:rPr>
        <w:instrText>14 Upon completion of this course, participants should be able to:</w:instrText>
      </w:r>
    </w:p>
    <w:p w14:paraId="309F659E" w14:textId="77777777" w:rsidR="00885ACF" w:rsidRDefault="00F26FC5" w:rsidP="0042796F">
      <w:pPr>
        <w:spacing w:after="0" w:line="240" w:lineRule="auto"/>
        <w:contextualSpacing/>
        <w:rPr>
          <w:sz w:val="24"/>
          <w:szCs w:val="24"/>
        </w:rPr>
      </w:pPr>
      <w:r>
        <w:rPr>
          <w:sz w:val="24"/>
          <w:szCs w:val="24"/>
        </w:rPr>
        <w:instrText>• Screen, diagnose, and manage viral hepatitis B</w:instrText>
      </w:r>
    </w:p>
    <w:p w14:paraId="6E0A23B4" w14:textId="77777777" w:rsidR="00885ACF" w:rsidRDefault="00F26FC5" w:rsidP="0042796F">
      <w:pPr>
        <w:spacing w:after="0" w:line="240" w:lineRule="auto"/>
        <w:contextualSpacing/>
        <w:rPr>
          <w:sz w:val="24"/>
          <w:szCs w:val="24"/>
        </w:rPr>
      </w:pPr>
      <w:r>
        <w:rPr>
          <w:sz w:val="24"/>
          <w:szCs w:val="24"/>
        </w:rPr>
        <w:instrText>• Screen, diagnose, and manage viral hepatitis C</w:instrText>
      </w:r>
    </w:p>
    <w:p w14:paraId="1608B145" w14:textId="77777777" w:rsidR="00885ACF" w:rsidRDefault="00F26FC5" w:rsidP="0042796F">
      <w:pPr>
        <w:spacing w:after="0" w:line="240" w:lineRule="auto"/>
        <w:contextualSpacing/>
        <w:rPr>
          <w:sz w:val="24"/>
          <w:szCs w:val="24"/>
        </w:rPr>
      </w:pPr>
      <w:r>
        <w:rPr>
          <w:sz w:val="24"/>
          <w:szCs w:val="24"/>
        </w:rPr>
        <w:instrText>• Diagnose and manage non-alcoholic fatty liver disease</w:instrText>
      </w:r>
    </w:p>
    <w:p w14:paraId="668567BA" w14:textId="77777777" w:rsidR="00885ACF" w:rsidRDefault="00F26FC5" w:rsidP="0042796F">
      <w:pPr>
        <w:spacing w:after="0" w:line="240" w:lineRule="auto"/>
        <w:contextualSpacing/>
        <w:rPr>
          <w:sz w:val="24"/>
          <w:szCs w:val="24"/>
        </w:rPr>
      </w:pPr>
      <w:r>
        <w:rPr>
          <w:sz w:val="24"/>
          <w:szCs w:val="24"/>
        </w:rPr>
        <w:instrText>• Diagnose and Manage patients with hepatocellular carcinoma</w:instrText>
      </w:r>
    </w:p>
    <w:p w14:paraId="26E9253C" w14:textId="77777777" w:rsidR="00885ACF" w:rsidRDefault="00885ACF" w:rsidP="0042796F">
      <w:pPr>
        <w:spacing w:after="0" w:line="240" w:lineRule="auto"/>
        <w:contextualSpacing/>
        <w:rPr>
          <w:sz w:val="24"/>
          <w:szCs w:val="24"/>
        </w:rPr>
      </w:pPr>
    </w:p>
    <w:p w14:paraId="59464064" w14:textId="77777777" w:rsidR="00885ACF" w:rsidRDefault="00F26FC5" w:rsidP="0042796F">
      <w:pPr>
        <w:spacing w:after="0" w:line="240" w:lineRule="auto"/>
        <w:contextualSpacing/>
        <w:rPr>
          <w:sz w:val="24"/>
          <w:szCs w:val="24"/>
        </w:rPr>
      </w:pPr>
      <w:r>
        <w:rPr>
          <w:sz w:val="24"/>
          <w:szCs w:val="24"/>
        </w:rPr>
        <w:instrText>By providing updated medical education, this CME program will improve the clinical knowledge and skills in managing those common chronic liver diseases.</w:instrText>
      </w:r>
    </w:p>
    <w:p w14:paraId="7721351C" w14:textId="77777777" w:rsidR="00885ACF" w:rsidRDefault="00F26FC5" w:rsidP="0042796F">
      <w:pPr>
        <w:spacing w:after="0" w:line="240" w:lineRule="auto"/>
        <w:contextualSpacing/>
        <w:rPr>
          <w:sz w:val="24"/>
          <w:szCs w:val="24"/>
        </w:rPr>
      </w:pPr>
      <w:r>
        <w:rPr>
          <w:sz w:val="24"/>
          <w:szCs w:val="24"/>
        </w:rPr>
        <w:instrText xml:space="preserve">15 Understand the risks, benefits and appropriate utilization of the contemporary medical, surgical and endoscopic therapies for GERD patients. </w:instrText>
      </w:r>
    </w:p>
    <w:p w14:paraId="4FFF6BE1" w14:textId="77777777" w:rsidR="00885ACF" w:rsidRDefault="00885ACF" w:rsidP="0042796F">
      <w:pPr>
        <w:spacing w:after="0" w:line="240" w:lineRule="auto"/>
        <w:contextualSpacing/>
        <w:rPr>
          <w:sz w:val="24"/>
          <w:szCs w:val="24"/>
        </w:rPr>
      </w:pPr>
    </w:p>
    <w:p w14:paraId="14DA888F" w14:textId="77777777" w:rsidR="00885ACF" w:rsidRDefault="00F26FC5" w:rsidP="0042796F">
      <w:pPr>
        <w:spacing w:after="0" w:line="240" w:lineRule="auto"/>
        <w:contextualSpacing/>
        <w:rPr>
          <w:sz w:val="24"/>
          <w:szCs w:val="24"/>
        </w:rPr>
      </w:pPr>
      <w:r>
        <w:rPr>
          <w:sz w:val="24"/>
          <w:szCs w:val="24"/>
        </w:rPr>
        <w:instrText>Evidence based approach to choosing between medical, endoscopic and surgical therapy for patients with GERD</w:instrText>
      </w:r>
    </w:p>
    <w:p w14:paraId="1EB5860E" w14:textId="77777777" w:rsidR="00885ACF" w:rsidRDefault="00F26FC5" w:rsidP="0042796F">
      <w:pPr>
        <w:spacing w:after="0" w:line="240" w:lineRule="auto"/>
        <w:contextualSpacing/>
        <w:rPr>
          <w:sz w:val="24"/>
          <w:szCs w:val="24"/>
        </w:rPr>
      </w:pPr>
      <w:r>
        <w:rPr>
          <w:sz w:val="24"/>
          <w:szCs w:val="24"/>
        </w:rPr>
        <w:instrText>16 Understanding the risk of progression of pancreatic cysts.  Understanding an evidence based approach to choosing an imaging modality for pancreatic cyst surveillance</w:instrText>
      </w:r>
    </w:p>
    <w:p w14:paraId="34E49217" w14:textId="77777777" w:rsidR="00885ACF" w:rsidRDefault="00F26FC5" w:rsidP="0042796F">
      <w:pPr>
        <w:spacing w:after="0" w:line="240" w:lineRule="auto"/>
        <w:contextualSpacing/>
        <w:rPr>
          <w:sz w:val="24"/>
          <w:szCs w:val="24"/>
        </w:rPr>
      </w:pPr>
      <w:r>
        <w:rPr>
          <w:sz w:val="24"/>
          <w:szCs w:val="24"/>
        </w:rPr>
        <w:instrText>Understanding the appropriate approach for when to send pancreatic cysts for surgical resection</w:instrText>
      </w:r>
    </w:p>
    <w:p w14:paraId="3FC54F60" w14:textId="77777777" w:rsidR="00885ACF" w:rsidRDefault="00885ACF" w:rsidP="0042796F">
      <w:pPr>
        <w:spacing w:after="0" w:line="240" w:lineRule="auto"/>
        <w:contextualSpacing/>
        <w:rPr>
          <w:sz w:val="24"/>
          <w:szCs w:val="24"/>
        </w:rPr>
      </w:pPr>
    </w:p>
    <w:p w14:paraId="0F82F99C" w14:textId="77777777" w:rsidR="00885ACF" w:rsidRDefault="00F26FC5" w:rsidP="0042796F">
      <w:pPr>
        <w:spacing w:after="0" w:line="240" w:lineRule="auto"/>
        <w:contextualSpacing/>
        <w:rPr>
          <w:sz w:val="24"/>
          <w:szCs w:val="24"/>
        </w:rPr>
      </w:pPr>
      <w:r>
        <w:rPr>
          <w:sz w:val="24"/>
          <w:szCs w:val="24"/>
        </w:rPr>
        <w:instrText>Evidence based approach to choosing an imaging modality for pancreatic cyst surveillance and an approach for when to send pancreatic cysts for surgical resection</w:instrText>
      </w:r>
    </w:p>
    <w:p w14:paraId="2EAE8015" w14:textId="77777777" w:rsidR="00885ACF" w:rsidRDefault="00F26FC5" w:rsidP="0042796F">
      <w:pPr>
        <w:spacing w:after="0" w:line="240" w:lineRule="auto"/>
        <w:contextualSpacing/>
        <w:rPr>
          <w:sz w:val="24"/>
          <w:szCs w:val="24"/>
        </w:rPr>
      </w:pPr>
      <w:r>
        <w:rPr>
          <w:sz w:val="24"/>
          <w:szCs w:val="24"/>
        </w:rPr>
        <w:instrText>17 Evidence base approach to understanding the pros and cons of novel weight loss and bariatric options.</w:instrText>
      </w:r>
    </w:p>
    <w:p w14:paraId="7774781F" w14:textId="77777777" w:rsidR="00885ACF" w:rsidRPr="007C2DF4" w:rsidRDefault="00F26FC5" w:rsidP="007C2DF4">
      <w:pPr>
        <w:spacing w:after="0" w:line="240" w:lineRule="auto"/>
        <w:contextualSpacing/>
      </w:pPr>
      <w:r>
        <w:rPr>
          <w:sz w:val="20"/>
          <w:szCs w:val="20"/>
        </w:rPr>
        <w:instrText xml:space="preserve">" "" </w:instrText>
      </w:r>
      <w:r>
        <w:rPr>
          <w:sz w:val="20"/>
          <w:szCs w:val="20"/>
        </w:rPr>
        <w:fldChar w:fldCharType="separate"/>
      </w:r>
    </w:p>
    <w:p w14:paraId="4A313CF0" w14:textId="77777777" w:rsidR="00F26FC5" w:rsidRPr="007C2DF4" w:rsidRDefault="00F26FC5" w:rsidP="007C2DF4">
      <w:pPr>
        <w:spacing w:after="0" w:line="240" w:lineRule="auto"/>
        <w:contextualSpacing/>
      </w:pPr>
    </w:p>
    <w:p w14:paraId="5DFBB0CE" w14:textId="77777777" w:rsidR="00F26FC5" w:rsidRPr="007C2DF4" w:rsidRDefault="00F26FC5" w:rsidP="007C2DF4">
      <w:pPr>
        <w:spacing w:after="0" w:line="240" w:lineRule="auto"/>
        <w:contextualSpacing/>
        <w:rPr>
          <w:b/>
          <w:bCs/>
        </w:rPr>
      </w:pPr>
      <w:r w:rsidRPr="007C2DF4">
        <w:rPr>
          <w:b/>
          <w:bCs/>
        </w:rPr>
        <w:t>Activity Objectives</w:t>
      </w:r>
    </w:p>
    <w:p w14:paraId="2773EAF2" w14:textId="57E7A6FA" w:rsidR="007C2DF4" w:rsidRPr="007C2DF4" w:rsidRDefault="007C2DF4" w:rsidP="007C2DF4">
      <w:pPr>
        <w:shd w:val="clear" w:color="auto" w:fill="FFFFFF"/>
        <w:spacing w:after="0" w:line="240" w:lineRule="auto"/>
        <w:textAlignment w:val="baseline"/>
      </w:pPr>
      <w:r w:rsidRPr="007C2DF4">
        <w:t>At the conclusion of this activity, learners will be able to:</w:t>
      </w:r>
    </w:p>
    <w:p w14:paraId="2509126B" w14:textId="77777777" w:rsidR="007C2DF4" w:rsidRPr="007C2DF4" w:rsidRDefault="007C2DF4" w:rsidP="004434DA">
      <w:pPr>
        <w:numPr>
          <w:ilvl w:val="0"/>
          <w:numId w:val="2"/>
        </w:numPr>
        <w:shd w:val="clear" w:color="auto" w:fill="FFFFFF"/>
        <w:tabs>
          <w:tab w:val="num" w:pos="810"/>
        </w:tabs>
        <w:spacing w:after="0" w:line="240" w:lineRule="auto"/>
        <w:ind w:left="720" w:hanging="450"/>
        <w:textAlignment w:val="baseline"/>
      </w:pPr>
      <w:r w:rsidRPr="007C2DF4">
        <w:t>This program will provide, thorough formal lectures, question-and-answer sessions and a hands-on workshop, updates on new approaches in the diagnosis and management of gastrointestinal, liver diseases and cancer for invasive and non-invasive methods. The methods include case-based discussion, lecture, panel, simulation, and skill-based training.</w:t>
      </w:r>
    </w:p>
    <w:p w14:paraId="681457CE" w14:textId="77777777" w:rsidR="007C2DF4" w:rsidRPr="007C2DF4" w:rsidRDefault="007C2DF4" w:rsidP="004434DA">
      <w:pPr>
        <w:numPr>
          <w:ilvl w:val="0"/>
          <w:numId w:val="2"/>
        </w:numPr>
        <w:shd w:val="clear" w:color="auto" w:fill="FFFFFF"/>
        <w:tabs>
          <w:tab w:val="num" w:pos="810"/>
        </w:tabs>
        <w:spacing w:after="0" w:line="240" w:lineRule="auto"/>
        <w:ind w:left="720" w:hanging="450"/>
        <w:textAlignment w:val="baseline"/>
      </w:pPr>
      <w:r w:rsidRPr="007C2DF4">
        <w:t xml:space="preserve">Learn to manage biologic therapy around the time of surgery Improving knowledge about management of biologic therapy during </w:t>
      </w:r>
      <w:proofErr w:type="gramStart"/>
      <w:r w:rsidRPr="007C2DF4">
        <w:t>surgery</w:t>
      </w:r>
      <w:proofErr w:type="gramEnd"/>
    </w:p>
    <w:p w14:paraId="6F7957DE" w14:textId="77777777" w:rsidR="007C2DF4" w:rsidRPr="007C2DF4" w:rsidRDefault="007C2DF4" w:rsidP="004434DA">
      <w:pPr>
        <w:numPr>
          <w:ilvl w:val="0"/>
          <w:numId w:val="2"/>
        </w:numPr>
        <w:shd w:val="clear" w:color="auto" w:fill="FFFFFF"/>
        <w:tabs>
          <w:tab w:val="num" w:pos="810"/>
        </w:tabs>
        <w:spacing w:after="0" w:line="240" w:lineRule="auto"/>
        <w:ind w:left="720" w:hanging="450"/>
        <w:textAlignment w:val="baseline"/>
      </w:pPr>
      <w:r w:rsidRPr="007C2DF4">
        <w:t xml:space="preserve">Discuss cancer risk in the IBD patient Ability to discuss risk of cancer development in patients with IBD as well as more biologic and immunomodulator </w:t>
      </w:r>
      <w:proofErr w:type="gramStart"/>
      <w:r w:rsidRPr="007C2DF4">
        <w:t>therapy</w:t>
      </w:r>
      <w:proofErr w:type="gramEnd"/>
    </w:p>
    <w:p w14:paraId="1D2CDE48" w14:textId="77777777" w:rsidR="007C2DF4" w:rsidRPr="007C2DF4" w:rsidRDefault="007C2DF4" w:rsidP="004434DA">
      <w:pPr>
        <w:numPr>
          <w:ilvl w:val="0"/>
          <w:numId w:val="2"/>
        </w:numPr>
        <w:shd w:val="clear" w:color="auto" w:fill="FFFFFF"/>
        <w:tabs>
          <w:tab w:val="num" w:pos="810"/>
        </w:tabs>
        <w:spacing w:after="0" w:line="240" w:lineRule="auto"/>
        <w:ind w:left="720" w:hanging="450"/>
        <w:textAlignment w:val="baseline"/>
      </w:pPr>
      <w:r w:rsidRPr="007C2DF4">
        <w:t xml:space="preserve">Discuss what’s new in management of biliary and pancreatic diseases Understand the latest developments in management of biliary and pancreatic </w:t>
      </w:r>
      <w:proofErr w:type="gramStart"/>
      <w:r w:rsidRPr="007C2DF4">
        <w:t>diseases</w:t>
      </w:r>
      <w:proofErr w:type="gramEnd"/>
    </w:p>
    <w:p w14:paraId="5D5822BB" w14:textId="77777777" w:rsidR="007C2DF4" w:rsidRPr="007C2DF4" w:rsidRDefault="007C2DF4" w:rsidP="004434DA">
      <w:pPr>
        <w:numPr>
          <w:ilvl w:val="0"/>
          <w:numId w:val="2"/>
        </w:numPr>
        <w:shd w:val="clear" w:color="auto" w:fill="FFFFFF"/>
        <w:tabs>
          <w:tab w:val="num" w:pos="810"/>
        </w:tabs>
        <w:spacing w:after="0" w:line="240" w:lineRule="auto"/>
        <w:ind w:left="720" w:hanging="450"/>
        <w:textAlignment w:val="baseline"/>
      </w:pPr>
      <w:r w:rsidRPr="007C2DF4">
        <w:t>Review current diagnostic and treatment paradigms for Barrett’s and esophageal cancer Develop the ideal future paradigm for detecting and treating Barrett’s and esophageal cancer. Current diagnostic and treatment paradigms for Barrett’s cancer</w:t>
      </w:r>
    </w:p>
    <w:p w14:paraId="19395114" w14:textId="77777777" w:rsidR="007C2DF4" w:rsidRPr="007C2DF4" w:rsidRDefault="007C2DF4" w:rsidP="004434DA">
      <w:pPr>
        <w:numPr>
          <w:ilvl w:val="0"/>
          <w:numId w:val="2"/>
        </w:numPr>
        <w:shd w:val="clear" w:color="auto" w:fill="FFFFFF"/>
        <w:tabs>
          <w:tab w:val="num" w:pos="810"/>
        </w:tabs>
        <w:spacing w:after="0" w:line="240" w:lineRule="auto"/>
        <w:ind w:left="720" w:hanging="450"/>
        <w:textAlignment w:val="baseline"/>
      </w:pPr>
      <w:r w:rsidRPr="007C2DF4">
        <w:t>Which polyps to worry about, how to recognize them and how they can/should be removed Interval colorectal cancers could be reduced by over 85% by eliminating polyp miss rate and assuring complete polyp resection</w:t>
      </w:r>
    </w:p>
    <w:p w14:paraId="46E82A62" w14:textId="77777777" w:rsidR="007C2DF4" w:rsidRPr="007C2DF4" w:rsidRDefault="007C2DF4" w:rsidP="004434DA">
      <w:pPr>
        <w:numPr>
          <w:ilvl w:val="0"/>
          <w:numId w:val="2"/>
        </w:numPr>
        <w:shd w:val="clear" w:color="auto" w:fill="FFFFFF"/>
        <w:tabs>
          <w:tab w:val="num" w:pos="810"/>
        </w:tabs>
        <w:spacing w:after="0" w:line="240" w:lineRule="auto"/>
        <w:ind w:left="720" w:hanging="450"/>
        <w:textAlignment w:val="baseline"/>
      </w:pPr>
      <w:r w:rsidRPr="007C2DF4">
        <w:t>Incorporate advances in disease monitoring and quality metrics that should be utilized in the management of IBD patients Facilitate utilization of biologic drug monitoring to improve care of patients.</w:t>
      </w:r>
    </w:p>
    <w:p w14:paraId="53AEBB55" w14:textId="77777777" w:rsidR="007C2DF4" w:rsidRPr="007C2DF4" w:rsidRDefault="007C2DF4" w:rsidP="004434DA">
      <w:pPr>
        <w:numPr>
          <w:ilvl w:val="0"/>
          <w:numId w:val="2"/>
        </w:numPr>
        <w:shd w:val="clear" w:color="auto" w:fill="FFFFFF"/>
        <w:tabs>
          <w:tab w:val="num" w:pos="810"/>
        </w:tabs>
        <w:spacing w:after="0" w:line="240" w:lineRule="auto"/>
        <w:ind w:left="720" w:hanging="450"/>
        <w:textAlignment w:val="baseline"/>
      </w:pPr>
      <w:r w:rsidRPr="007C2DF4">
        <w:t xml:space="preserve">Describe the medical and surgical management of perianal Crohn’s disease and know how to provide resources for patients Improved non-operative and operative management of perianal Crohn’s disease as well as more referrals for </w:t>
      </w:r>
      <w:proofErr w:type="gramStart"/>
      <w:r w:rsidRPr="007C2DF4">
        <w:t>specialized</w:t>
      </w:r>
      <w:proofErr w:type="gramEnd"/>
    </w:p>
    <w:p w14:paraId="71557B86" w14:textId="77777777" w:rsidR="007C2DF4" w:rsidRPr="007C2DF4" w:rsidRDefault="007C2DF4" w:rsidP="004434DA">
      <w:pPr>
        <w:numPr>
          <w:ilvl w:val="0"/>
          <w:numId w:val="2"/>
        </w:numPr>
        <w:shd w:val="clear" w:color="auto" w:fill="FFFFFF"/>
        <w:tabs>
          <w:tab w:val="num" w:pos="720"/>
          <w:tab w:val="num" w:pos="810"/>
        </w:tabs>
        <w:spacing w:after="0" w:line="240" w:lineRule="auto"/>
        <w:ind w:left="720" w:hanging="450"/>
        <w:textAlignment w:val="baseline"/>
      </w:pPr>
      <w:r w:rsidRPr="007C2DF4">
        <w:t xml:space="preserve">Explain positioning of IBD Biologic therapies for Crohn’s disease and Ulcerative Colitis. Understanding when to refer to Tertiary care for complex cases Evidence based approach to choosing first, </w:t>
      </w:r>
      <w:proofErr w:type="gramStart"/>
      <w:r w:rsidRPr="007C2DF4">
        <w:t>second and third line</w:t>
      </w:r>
      <w:proofErr w:type="gramEnd"/>
      <w:r w:rsidRPr="007C2DF4">
        <w:t xml:space="preserve"> therapies.</w:t>
      </w:r>
    </w:p>
    <w:p w14:paraId="7770C71A" w14:textId="323555B4" w:rsidR="007C2DF4" w:rsidRPr="007C2DF4" w:rsidRDefault="007C2DF4" w:rsidP="004434DA">
      <w:pPr>
        <w:numPr>
          <w:ilvl w:val="0"/>
          <w:numId w:val="2"/>
        </w:numPr>
        <w:shd w:val="clear" w:color="auto" w:fill="FFFFFF"/>
        <w:tabs>
          <w:tab w:val="num" w:pos="720"/>
          <w:tab w:val="num" w:pos="810"/>
        </w:tabs>
        <w:spacing w:after="0" w:line="240" w:lineRule="auto"/>
        <w:ind w:left="720" w:hanging="450"/>
        <w:textAlignment w:val="baseline"/>
      </w:pPr>
      <w:r w:rsidRPr="007C2DF4">
        <w:t xml:space="preserve">Diagnose and Manage patients with hepatocellular carcinoma </w:t>
      </w:r>
      <w:proofErr w:type="gramStart"/>
      <w:r w:rsidRPr="007C2DF4">
        <w:t>By</w:t>
      </w:r>
      <w:proofErr w:type="gramEnd"/>
      <w:r w:rsidRPr="007C2DF4">
        <w:t xml:space="preserve"> providing updated medical education, this CME program will improve the clinical knowledge and skills in managing those common chronic liver diseases.</w:t>
      </w:r>
    </w:p>
    <w:p w14:paraId="3C93215D" w14:textId="77777777" w:rsidR="007C2DF4" w:rsidRPr="007C2DF4" w:rsidRDefault="007C2DF4" w:rsidP="004434DA">
      <w:pPr>
        <w:numPr>
          <w:ilvl w:val="0"/>
          <w:numId w:val="2"/>
        </w:numPr>
        <w:shd w:val="clear" w:color="auto" w:fill="FFFFFF"/>
        <w:tabs>
          <w:tab w:val="num" w:pos="720"/>
          <w:tab w:val="num" w:pos="810"/>
        </w:tabs>
        <w:spacing w:after="0" w:line="240" w:lineRule="auto"/>
        <w:ind w:left="720" w:hanging="450"/>
        <w:textAlignment w:val="baseline"/>
      </w:pPr>
      <w:r w:rsidRPr="007C2DF4">
        <w:t xml:space="preserve">Understand the risks, </w:t>
      </w:r>
      <w:proofErr w:type="gramStart"/>
      <w:r w:rsidRPr="007C2DF4">
        <w:t>benefits</w:t>
      </w:r>
      <w:proofErr w:type="gramEnd"/>
      <w:r w:rsidRPr="007C2DF4">
        <w:t xml:space="preserve"> and appropriate utilization of the contemporary medical, surgical and endoscopic therapies for GERD patients. Evidence based approach to choosing between medical, endoscopic and surgical therapy for patients with </w:t>
      </w:r>
      <w:proofErr w:type="gramStart"/>
      <w:r w:rsidRPr="007C2DF4">
        <w:t>GERD</w:t>
      </w:r>
      <w:proofErr w:type="gramEnd"/>
    </w:p>
    <w:p w14:paraId="7373BC6E" w14:textId="77777777" w:rsidR="007C2DF4" w:rsidRPr="007C2DF4" w:rsidRDefault="007C2DF4" w:rsidP="004434DA">
      <w:pPr>
        <w:numPr>
          <w:ilvl w:val="0"/>
          <w:numId w:val="2"/>
        </w:numPr>
        <w:shd w:val="clear" w:color="auto" w:fill="FFFFFF"/>
        <w:tabs>
          <w:tab w:val="num" w:pos="720"/>
          <w:tab w:val="num" w:pos="810"/>
        </w:tabs>
        <w:spacing w:after="0" w:line="240" w:lineRule="auto"/>
        <w:ind w:left="720" w:hanging="450"/>
        <w:textAlignment w:val="baseline"/>
      </w:pPr>
      <w:r w:rsidRPr="007C2DF4">
        <w:t xml:space="preserve">Understanding the risk of progression of pancreatic cysts. Understanding an </w:t>
      </w:r>
      <w:proofErr w:type="gramStart"/>
      <w:r w:rsidRPr="007C2DF4">
        <w:t>evidence based</w:t>
      </w:r>
      <w:proofErr w:type="gramEnd"/>
      <w:r w:rsidRPr="007C2DF4">
        <w:t xml:space="preserve"> approach to choosing an imaging modality for pancreatic cyst surveillance Understanding the appropriate approach for when to send pancreatic cysts for surgical resection Evidence based approach to choosing an imaging modality for pancreatic cyst surveillance and an approach for when to send pancreatic cysts for surgical resection</w:t>
      </w:r>
    </w:p>
    <w:p w14:paraId="3A10CB63" w14:textId="77777777" w:rsidR="007C2DF4" w:rsidRPr="007C2DF4" w:rsidRDefault="007C2DF4" w:rsidP="004434DA">
      <w:pPr>
        <w:numPr>
          <w:ilvl w:val="0"/>
          <w:numId w:val="2"/>
        </w:numPr>
        <w:shd w:val="clear" w:color="auto" w:fill="FFFFFF"/>
        <w:tabs>
          <w:tab w:val="num" w:pos="720"/>
          <w:tab w:val="num" w:pos="810"/>
        </w:tabs>
        <w:spacing w:after="0" w:line="240" w:lineRule="auto"/>
        <w:ind w:left="720" w:hanging="450"/>
        <w:textAlignment w:val="baseline"/>
      </w:pPr>
      <w:r w:rsidRPr="007C2DF4">
        <w:t>Evidence base approach to understanding the pros and cons of novel weight loss and bariatric options.</w:t>
      </w:r>
    </w:p>
    <w:p w14:paraId="31575F85" w14:textId="77777777" w:rsidR="007C2DF4" w:rsidRPr="007C2DF4" w:rsidRDefault="007C2DF4" w:rsidP="004434DA">
      <w:pPr>
        <w:numPr>
          <w:ilvl w:val="0"/>
          <w:numId w:val="2"/>
        </w:numPr>
        <w:shd w:val="clear" w:color="auto" w:fill="FFFFFF"/>
        <w:tabs>
          <w:tab w:val="num" w:pos="720"/>
          <w:tab w:val="num" w:pos="810"/>
        </w:tabs>
        <w:spacing w:after="0" w:line="240" w:lineRule="auto"/>
        <w:ind w:left="720" w:hanging="450"/>
        <w:textAlignment w:val="baseline"/>
      </w:pPr>
      <w:r w:rsidRPr="007C2DF4">
        <w:t>Enhance knowledge of current diagnostic and therapeutic approaches for a wide range of gastrointestinal conditions, including GERD, colorectal cancer, biliary malignancies, esophageal diverticula, obesity, pelvic floor disorders, and functional GI disorders.</w:t>
      </w:r>
    </w:p>
    <w:p w14:paraId="7FF840E3" w14:textId="77777777" w:rsidR="007C2DF4" w:rsidRPr="007C2DF4" w:rsidRDefault="007C2DF4" w:rsidP="004434DA">
      <w:pPr>
        <w:numPr>
          <w:ilvl w:val="0"/>
          <w:numId w:val="2"/>
        </w:numPr>
        <w:shd w:val="clear" w:color="auto" w:fill="FFFFFF"/>
        <w:tabs>
          <w:tab w:val="num" w:pos="720"/>
          <w:tab w:val="num" w:pos="810"/>
        </w:tabs>
        <w:spacing w:after="0" w:line="240" w:lineRule="auto"/>
        <w:ind w:left="720" w:hanging="450"/>
        <w:textAlignment w:val="baseline"/>
      </w:pPr>
      <w:r w:rsidRPr="007C2DF4">
        <w:lastRenderedPageBreak/>
        <w:t xml:space="preserve">Review </w:t>
      </w:r>
      <w:proofErr w:type="gramStart"/>
      <w:r w:rsidRPr="007C2DF4">
        <w:t>evidence based</w:t>
      </w:r>
      <w:proofErr w:type="gramEnd"/>
      <w:r w:rsidRPr="007C2DF4">
        <w:t xml:space="preserve"> guidelines for these disease processes</w:t>
      </w:r>
    </w:p>
    <w:p w14:paraId="71DE40EB" w14:textId="77777777" w:rsidR="007C2DF4" w:rsidRPr="007C2DF4" w:rsidRDefault="007C2DF4" w:rsidP="004434DA">
      <w:pPr>
        <w:numPr>
          <w:ilvl w:val="0"/>
          <w:numId w:val="2"/>
        </w:numPr>
        <w:shd w:val="clear" w:color="auto" w:fill="FFFFFF"/>
        <w:tabs>
          <w:tab w:val="num" w:pos="720"/>
          <w:tab w:val="num" w:pos="810"/>
        </w:tabs>
        <w:spacing w:after="0" w:line="240" w:lineRule="auto"/>
        <w:ind w:left="720" w:hanging="450"/>
        <w:textAlignment w:val="baseline"/>
      </w:pPr>
      <w:r w:rsidRPr="007C2DF4">
        <w:t xml:space="preserve">Allow opportunities for interdisciplinary collaboration across multiple disciplines and amongst our academic and community </w:t>
      </w:r>
      <w:proofErr w:type="gramStart"/>
      <w:r w:rsidRPr="007C2DF4">
        <w:t>providers</w:t>
      </w:r>
      <w:proofErr w:type="gramEnd"/>
    </w:p>
    <w:p w14:paraId="766D6C55" w14:textId="77777777" w:rsidR="007C2DF4" w:rsidRPr="007C2DF4" w:rsidRDefault="007C2DF4" w:rsidP="004434DA">
      <w:pPr>
        <w:numPr>
          <w:ilvl w:val="0"/>
          <w:numId w:val="2"/>
        </w:numPr>
        <w:shd w:val="clear" w:color="auto" w:fill="FFFFFF"/>
        <w:tabs>
          <w:tab w:val="num" w:pos="720"/>
          <w:tab w:val="num" w:pos="810"/>
        </w:tabs>
        <w:spacing w:after="0" w:line="240" w:lineRule="auto"/>
        <w:ind w:left="720" w:hanging="450"/>
        <w:textAlignment w:val="baseline"/>
      </w:pPr>
      <w:r w:rsidRPr="007C2DF4">
        <w:t>Update attendees on the latest techniques in minimally invasive surgery and endoscopic interventions</w:t>
      </w:r>
    </w:p>
    <w:p w14:paraId="5EE1E78C" w14:textId="77777777" w:rsidR="007C2DF4" w:rsidRPr="007C2DF4" w:rsidRDefault="007C2DF4" w:rsidP="004434DA">
      <w:pPr>
        <w:numPr>
          <w:ilvl w:val="0"/>
          <w:numId w:val="2"/>
        </w:numPr>
        <w:shd w:val="clear" w:color="auto" w:fill="FFFFFF"/>
        <w:tabs>
          <w:tab w:val="num" w:pos="720"/>
          <w:tab w:val="num" w:pos="810"/>
        </w:tabs>
        <w:spacing w:after="0" w:line="240" w:lineRule="auto"/>
        <w:ind w:left="720" w:hanging="450"/>
        <w:textAlignment w:val="baseline"/>
      </w:pPr>
      <w:r w:rsidRPr="007C2DF4">
        <w:t xml:space="preserve">Apply knowledge gained through case-based discussions to improve clinical decision-making in the management of complex gastrointestinal </w:t>
      </w:r>
      <w:proofErr w:type="gramStart"/>
      <w:r w:rsidRPr="007C2DF4">
        <w:t>conditions</w:t>
      </w:r>
      <w:proofErr w:type="gramEnd"/>
    </w:p>
    <w:p w14:paraId="1B7CCAA4" w14:textId="77777777" w:rsidR="007C2DF4" w:rsidRPr="007C2DF4" w:rsidRDefault="007C2DF4" w:rsidP="004434DA">
      <w:pPr>
        <w:numPr>
          <w:ilvl w:val="0"/>
          <w:numId w:val="2"/>
        </w:numPr>
        <w:shd w:val="clear" w:color="auto" w:fill="FFFFFF"/>
        <w:tabs>
          <w:tab w:val="num" w:pos="720"/>
          <w:tab w:val="num" w:pos="810"/>
        </w:tabs>
        <w:spacing w:after="0" w:line="240" w:lineRule="auto"/>
        <w:ind w:left="720" w:hanging="450"/>
        <w:textAlignment w:val="baseline"/>
      </w:pPr>
      <w:r w:rsidRPr="007C2DF4">
        <w:t xml:space="preserve">Incorporate culturally competent and patient-centered care approaches to best serve our diverse patient </w:t>
      </w:r>
      <w:proofErr w:type="gramStart"/>
      <w:r w:rsidRPr="007C2DF4">
        <w:t>population</w:t>
      </w:r>
      <w:proofErr w:type="gramEnd"/>
    </w:p>
    <w:p w14:paraId="1D76B4D2" w14:textId="77777777" w:rsidR="007C2DF4" w:rsidRPr="007C2DF4" w:rsidRDefault="007C2DF4" w:rsidP="004434DA">
      <w:pPr>
        <w:numPr>
          <w:ilvl w:val="0"/>
          <w:numId w:val="2"/>
        </w:numPr>
        <w:shd w:val="clear" w:color="auto" w:fill="FFFFFF"/>
        <w:tabs>
          <w:tab w:val="num" w:pos="720"/>
          <w:tab w:val="num" w:pos="810"/>
        </w:tabs>
        <w:spacing w:after="0" w:line="240" w:lineRule="auto"/>
        <w:ind w:left="720" w:hanging="450"/>
        <w:textAlignment w:val="baseline"/>
      </w:pPr>
      <w:r w:rsidRPr="007C2DF4">
        <w:t xml:space="preserve">Participate in hands-on training for advanced endoscopic techniques with expert </w:t>
      </w:r>
      <w:proofErr w:type="gramStart"/>
      <w:r w:rsidRPr="007C2DF4">
        <w:t>guidance</w:t>
      </w:r>
      <w:proofErr w:type="gramEnd"/>
    </w:p>
    <w:p w14:paraId="02CE3C70" w14:textId="7931E874" w:rsidR="00F26FC5" w:rsidRDefault="00F26FC5" w:rsidP="0042796F">
      <w:pPr>
        <w:spacing w:after="0" w:line="240" w:lineRule="auto"/>
        <w:contextualSpacing/>
        <w:rPr>
          <w:sz w:val="20"/>
          <w:szCs w:val="20"/>
        </w:rPr>
      </w:pPr>
      <w:r>
        <w:rPr>
          <w:sz w:val="20"/>
          <w:szCs w:val="20"/>
        </w:rPr>
        <w:fldChar w:fldCharType="end"/>
      </w:r>
    </w:p>
    <w:p w14:paraId="3CF13535" w14:textId="77777777" w:rsidR="00F26FC5" w:rsidRDefault="00F26FC5" w:rsidP="004F716E">
      <w:pPr>
        <w:spacing w:after="0" w:line="240" w:lineRule="auto"/>
        <w:contextualSpacing/>
        <w:rPr>
          <w:sz w:val="20"/>
          <w:szCs w:val="20"/>
        </w:rPr>
      </w:pPr>
    </w:p>
    <w:p w14:paraId="0C9305A8" w14:textId="77777777" w:rsidR="00F26FC5" w:rsidRPr="00CC147B" w:rsidRDefault="00F26FC5" w:rsidP="004F716E">
      <w:pPr>
        <w:spacing w:after="0" w:line="240" w:lineRule="auto"/>
        <w:contextualSpacing/>
        <w:rPr>
          <w:b/>
          <w:bCs/>
          <w:sz w:val="24"/>
          <w:szCs w:val="24"/>
        </w:rPr>
      </w:pPr>
      <w:r>
        <w:rPr>
          <w:b/>
          <w:bCs/>
          <w:sz w:val="24"/>
          <w:szCs w:val="24"/>
        </w:rPr>
        <w:t>Accreditation Statement</w:t>
      </w:r>
    </w:p>
    <w:p w14:paraId="7F4CA883" w14:textId="77777777" w:rsidR="00F26FC5" w:rsidRPr="00CC147B" w:rsidRDefault="00F26FC5" w:rsidP="004F716E">
      <w:pPr>
        <w:spacing w:after="0" w:line="240" w:lineRule="auto"/>
        <w:contextualSpacing/>
        <w:rPr>
          <w:sz w:val="24"/>
          <w:szCs w:val="24"/>
        </w:rPr>
      </w:pPr>
      <w:r>
        <w:rPr>
          <w:sz w:val="24"/>
          <w:szCs w:val="24"/>
        </w:rPr>
        <w:fldChar w:fldCharType="begin"/>
      </w:r>
      <w:r>
        <w:rPr>
          <w:sz w:val="24"/>
          <w:szCs w:val="24"/>
        </w:rPr>
        <w:instrText xml:space="preserve"> IF "" &lt;&gt; "" "</w:instrText>
      </w:r>
      <w:r w:rsidRPr="00CC147B">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fldChar w:fldCharType="begin"/>
      </w:r>
      <w:r>
        <w:rPr>
          <w:sz w:val="24"/>
          <w:szCs w:val="24"/>
        </w:rPr>
        <w:instrText xml:space="preserve"> MERGEFIELD JointProviderName </w:instrText>
      </w:r>
      <w:r>
        <w:rPr>
          <w:sz w:val="24"/>
          <w:szCs w:val="24"/>
        </w:rPr>
        <w:fldChar w:fldCharType="separate"/>
      </w:r>
      <w:r>
        <w:rPr>
          <w:noProof/>
          <w:sz w:val="24"/>
          <w:szCs w:val="24"/>
        </w:rPr>
        <w:instrText>«JointProviderName»</w:instrText>
      </w:r>
      <w:r>
        <w:rPr>
          <w:sz w:val="24"/>
          <w:szCs w:val="24"/>
        </w:rPr>
        <w:fldChar w:fldCharType="end"/>
      </w:r>
      <w:r w:rsidRPr="00CC147B">
        <w:rPr>
          <w:sz w:val="24"/>
          <w:szCs w:val="24"/>
        </w:rPr>
        <w:instrText>. The University of California, Irvine School of Medicine is accredited by the ACCME</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14:paraId="3AE9A96B" w14:textId="77777777" w:rsidR="00F26FC5" w:rsidRDefault="00F26FC5" w:rsidP="004F716E">
      <w:pPr>
        <w:spacing w:after="0" w:line="240" w:lineRule="auto"/>
        <w:contextualSpacing/>
        <w:rPr>
          <w:sz w:val="20"/>
          <w:szCs w:val="20"/>
        </w:rPr>
      </w:pPr>
    </w:p>
    <w:p w14:paraId="31154337" w14:textId="77777777" w:rsidR="00F26FC5" w:rsidRDefault="00F26FC5" w:rsidP="004F716E">
      <w:pPr>
        <w:spacing w:after="0" w:line="240" w:lineRule="auto"/>
        <w:contextualSpacing/>
        <w:rPr>
          <w:b/>
          <w:bCs/>
          <w:sz w:val="24"/>
          <w:szCs w:val="24"/>
        </w:rPr>
      </w:pPr>
      <w:r>
        <w:rPr>
          <w:b/>
          <w:bCs/>
          <w:sz w:val="24"/>
          <w:szCs w:val="24"/>
        </w:rPr>
        <w:t>Designation Statement</w:t>
      </w:r>
    </w:p>
    <w:p w14:paraId="17C06A8D" w14:textId="75746E46" w:rsidR="00F26FC5" w:rsidRPr="00CC147B" w:rsidRDefault="00F26FC5"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"Live Activity" &lt;&gt; "" "Live Activity"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sidR="007C2DF4">
        <w:rPr>
          <w:sz w:val="24"/>
          <w:szCs w:val="24"/>
        </w:rPr>
        <w:t>14.25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14:paraId="4BC46755" w14:textId="77777777" w:rsidR="00F26FC5" w:rsidRDefault="00F26FC5" w:rsidP="004F716E">
      <w:pPr>
        <w:spacing w:after="0" w:line="240" w:lineRule="auto"/>
        <w:contextualSpacing/>
        <w:rPr>
          <w:sz w:val="20"/>
          <w:szCs w:val="20"/>
        </w:rPr>
      </w:pPr>
    </w:p>
    <w:p w14:paraId="48BD05FD" w14:textId="77777777" w:rsidR="00F26FC5" w:rsidRPr="00CC147B" w:rsidRDefault="00F26FC5" w:rsidP="00CC147B">
      <w:pPr>
        <w:spacing w:after="0" w:line="240" w:lineRule="auto"/>
        <w:contextualSpacing/>
        <w:rPr>
          <w:b/>
          <w:bCs/>
          <w:sz w:val="24"/>
          <w:szCs w:val="24"/>
        </w:rPr>
      </w:pPr>
      <w:r w:rsidRPr="00CC147B">
        <w:rPr>
          <w:b/>
          <w:bCs/>
          <w:sz w:val="24"/>
          <w:szCs w:val="24"/>
        </w:rPr>
        <w:t>California Assembly Bill 1195 and 241</w:t>
      </w:r>
    </w:p>
    <w:p w14:paraId="169B9A26" w14:textId="77777777" w:rsidR="00F26FC5" w:rsidRPr="00830DFB" w:rsidRDefault="00F26FC5" w:rsidP="004F716E">
      <w:pPr>
        <w:spacing w:after="0" w:line="240" w:lineRule="auto"/>
        <w:contextualSpacing/>
        <w:rPr>
          <w:sz w:val="24"/>
          <w:szCs w:val="24"/>
        </w:rPr>
      </w:pPr>
      <w:r w:rsidRPr="00CC147B">
        <w:rPr>
          <w:sz w:val="24"/>
          <w:szCs w:val="24"/>
        </w:rPr>
        <w:t xml:space="preserve">This activity </w:t>
      </w:r>
      <w:proofErr w:type="gramStart"/>
      <w:r w:rsidRPr="00CC147B">
        <w:rPr>
          <w:sz w:val="24"/>
          <w:szCs w:val="24"/>
        </w:rPr>
        <w:t>is in compliance with</w:t>
      </w:r>
      <w:proofErr w:type="gramEnd"/>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hyperlink r:id="rId5" w:history="1">
        <w:r w:rsidRPr="007312E1">
          <w:rPr>
            <w:rStyle w:val="Hyperlink"/>
            <w:sz w:val="24"/>
            <w:szCs w:val="24"/>
          </w:rPr>
          <w:t>https://www.meded.uci.edu/CME/</w:t>
        </w:r>
      </w:hyperlink>
      <w:r>
        <w:rPr>
          <w:sz w:val="24"/>
          <w:szCs w:val="24"/>
        </w:rPr>
        <w:t xml:space="preserve"> </w:t>
      </w:r>
      <w:r w:rsidRPr="00CC147B">
        <w:rPr>
          <w:sz w:val="24"/>
          <w:szCs w:val="24"/>
        </w:rPr>
        <w:t>for AB 1195 and AB 241 resources.</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15.00 + 0.00 + 0.00 + 0.00 + 0.00 + 0.00 + 0.00 + 0.00 + 0.00 + 0.00 + 0.00 + 0.00 + 0.00 </w:instrText>
      </w:r>
      <w:r>
        <w:rPr>
          <w:sz w:val="20"/>
          <w:szCs w:val="20"/>
        </w:rPr>
        <w:fldChar w:fldCharType="separate"/>
      </w:r>
      <w:r>
        <w:rPr>
          <w:sz w:val="20"/>
          <w:szCs w:val="20"/>
        </w:rPr>
        <w:instrText>15</w:instrText>
      </w:r>
      <w:r>
        <w:rPr>
          <w:sz w:val="20"/>
          <w:szCs w:val="20"/>
        </w:rPr>
        <w:fldChar w:fldCharType="end"/>
      </w:r>
      <w:r>
        <w:rPr>
          <w:sz w:val="20"/>
          <w:szCs w:val="20"/>
        </w:rPr>
        <w:instrText xml:space="preserve"> &gt; 0 "</w:instrText>
      </w:r>
    </w:p>
    <w:p w14:paraId="6A75521C" w14:textId="77777777" w:rsidR="00F26FC5" w:rsidRDefault="00F26FC5" w:rsidP="004F716E">
      <w:pPr>
        <w:spacing w:after="0" w:line="240" w:lineRule="auto"/>
        <w:contextualSpacing/>
        <w:rPr>
          <w:sz w:val="20"/>
          <w:szCs w:val="20"/>
        </w:rPr>
      </w:pPr>
    </w:p>
    <w:p w14:paraId="31DBDFC1" w14:textId="77777777" w:rsidR="00F26FC5" w:rsidRDefault="00F26FC5" w:rsidP="004F716E">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0.00 &gt; 0 "</w:instrText>
      </w:r>
    </w:p>
    <w:p w14:paraId="5B23B1F3" w14:textId="77777777" w:rsidR="00F26FC5" w:rsidRDefault="00F26FC5" w:rsidP="004F716E">
      <w:pPr>
        <w:spacing w:after="0" w:line="240" w:lineRule="auto"/>
        <w:contextualSpacing/>
        <w:rPr>
          <w:sz w:val="20"/>
          <w:szCs w:val="20"/>
        </w:rPr>
      </w:pPr>
    </w:p>
    <w:p w14:paraId="036E9205" w14:textId="77777777" w:rsidR="00F26FC5" w:rsidRDefault="00F26FC5" w:rsidP="004F716E">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14:anchorId="67A975D5" wp14:editId="4A9F18DC">
            <wp:simplePos x="0" y="0"/>
            <wp:positionH relativeFrom="column">
              <wp:posOffset>1905</wp:posOffset>
            </wp:positionH>
            <wp:positionV relativeFrom="paragraph">
              <wp:posOffset>14605</wp:posOffset>
            </wp:positionV>
            <wp:extent cx="1522095" cy="539115"/>
            <wp:effectExtent l="0" t="0" r="1905" b="0"/>
            <wp:wrapSquare wrapText="bothSides"/>
            <wp:docPr id="1" name="Picture 1"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00000000">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sidR="00000000">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sidR="00000000">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00000000">
        <w:rPr>
          <w:sz w:val="24"/>
          <w:szCs w:val="24"/>
        </w:rPr>
        <w:fldChar w:fldCharType="separate"/>
      </w:r>
      <w:r w:rsidRPr="00830DFB">
        <w:rPr>
          <w:sz w:val="24"/>
          <w:szCs w:val="24"/>
        </w:rPr>
        <w:fldChar w:fldCharType="end"/>
      </w:r>
      <w:r>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hyperlink r:id="rId7" w:history="1">
        <w:r w:rsidRPr="00554859">
          <w:rPr>
            <w:rStyle w:val="Hyperlink"/>
            <w:sz w:val="24"/>
            <w:szCs w:val="24"/>
          </w:rPr>
          <w:instrText>https://www.theaba.org/</w:instrText>
        </w:r>
      </w:hyperlink>
      <w:r w:rsidRPr="00554859">
        <w:rPr>
          <w:sz w:val="24"/>
          <w:szCs w:val="24"/>
        </w:rPr>
        <w:instrText>, for a list of all MOCA 2.0 requirements.</w:instrText>
      </w:r>
      <w:r>
        <w:rPr>
          <w:sz w:val="20"/>
          <w:szCs w:val="20"/>
        </w:rPr>
        <w:instrText xml:space="preserve">" "" </w:instrText>
      </w:r>
      <w:r w:rsidR="00000000">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15.00 + 0.00 </w:instrText>
      </w:r>
      <w:r>
        <w:rPr>
          <w:sz w:val="20"/>
          <w:szCs w:val="20"/>
        </w:rPr>
        <w:fldChar w:fldCharType="separate"/>
      </w:r>
      <w:r>
        <w:rPr>
          <w:sz w:val="20"/>
          <w:szCs w:val="20"/>
        </w:rPr>
        <w:instrText>15</w:instrText>
      </w:r>
      <w:r>
        <w:rPr>
          <w:sz w:val="20"/>
          <w:szCs w:val="20"/>
        </w:rPr>
        <w:fldChar w:fldCharType="end"/>
      </w:r>
      <w:r>
        <w:rPr>
          <w:sz w:val="20"/>
          <w:szCs w:val="20"/>
        </w:rPr>
        <w:instrText xml:space="preserve"> &gt; 0 "</w:instrText>
      </w:r>
    </w:p>
    <w:p w14:paraId="43E47C05" w14:textId="77777777" w:rsidR="00F26FC5" w:rsidRDefault="00F26FC5" w:rsidP="004F716E">
      <w:pPr>
        <w:spacing w:after="0" w:line="240" w:lineRule="auto"/>
        <w:contextualSpacing/>
        <w:rPr>
          <w:sz w:val="20"/>
          <w:szCs w:val="20"/>
        </w:rPr>
      </w:pPr>
    </w:p>
    <w:p w14:paraId="2F769A1E" w14:textId="77777777" w:rsidR="00F26FC5" w:rsidRDefault="00F26FC5" w:rsidP="004F716E">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14:anchorId="6E7F9069" wp14:editId="129DCBC6">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15.00 &gt; 0 "15.00" "</w:instrText>
      </w:r>
      <w:r>
        <w:rPr>
          <w:sz w:val="24"/>
          <w:szCs w:val="24"/>
        </w:rPr>
        <w:fldChar w:fldCharType="begin"/>
      </w:r>
      <w:r>
        <w:rPr>
          <w:sz w:val="24"/>
          <w:szCs w:val="24"/>
        </w:rPr>
        <w:instrText xml:space="preserve"> MERGEFIELD ABIM4HoursMax \# 0.00# </w:instrText>
      </w:r>
      <w:r w:rsidR="00000000">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instrText>15.00</w:instrText>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0.00 &gt; 0 "and patient safety MOC credit" "" </w:instrText>
      </w:r>
      <w:r w:rsidR="00000000">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p>
    <w:p w14:paraId="7403439E" w14:textId="77777777" w:rsidR="00F26FC5" w:rsidRDefault="00F26FC5" w:rsidP="004F716E">
      <w:pPr>
        <w:spacing w:after="0" w:line="240" w:lineRule="auto"/>
        <w:contextualSpacing/>
        <w:rPr>
          <w:sz w:val="20"/>
          <w:szCs w:val="20"/>
        </w:rPr>
      </w:pPr>
    </w:p>
    <w:p w14:paraId="3C45F29E" w14:textId="77777777" w:rsidR="00F26FC5" w:rsidRDefault="00F26FC5" w:rsidP="004F716E">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14:anchorId="18A83B8C" wp14:editId="297BEF73">
            <wp:simplePos x="0" y="0"/>
            <wp:positionH relativeFrom="column">
              <wp:posOffset>1905</wp:posOffset>
            </wp:positionH>
            <wp:positionV relativeFrom="paragraph">
              <wp:posOffset>4445</wp:posOffset>
            </wp:positionV>
            <wp:extent cx="1501140" cy="507365"/>
            <wp:effectExtent l="0" t="0" r="3810" b="6985"/>
            <wp:wrapSquare wrapText="bothSides"/>
            <wp:docPr id="1168731040"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instrText>15.00</w:instrText>
      </w:r>
      <w:r w:rsidRPr="00092945">
        <w:rPr>
          <w:sz w:val="24"/>
          <w:szCs w:val="24"/>
        </w:rPr>
        <w:instrText xml:space="preserve"> MOC point</w:instrText>
      </w:r>
      <w:r>
        <w:rPr>
          <w:sz w:val="24"/>
          <w:szCs w:val="24"/>
        </w:rPr>
        <w:instrText xml:space="preserve">(s) </w:instrText>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fldChar w:fldCharType="end"/>
      </w:r>
      <w:r>
        <w:rPr>
          <w:sz w:val="20"/>
          <w:szCs w:val="20"/>
        </w:rPr>
        <w:fldChar w:fldCharType="begin"/>
      </w:r>
      <w:r>
        <w:rPr>
          <w:sz w:val="20"/>
          <w:szCs w:val="20"/>
        </w:rPr>
        <w:instrText xml:space="preserve"> IF 0.00 &gt; 0 "</w:instrText>
      </w:r>
    </w:p>
    <w:p w14:paraId="627978BA" w14:textId="77777777" w:rsidR="00F26FC5" w:rsidRDefault="00F26FC5" w:rsidP="004F716E">
      <w:pPr>
        <w:spacing w:after="0" w:line="240" w:lineRule="auto"/>
        <w:contextualSpacing/>
        <w:rPr>
          <w:sz w:val="20"/>
          <w:szCs w:val="20"/>
        </w:rPr>
      </w:pPr>
    </w:p>
    <w:p w14:paraId="691975E6" w14:textId="77777777" w:rsidR="00F26FC5" w:rsidRDefault="00F26FC5" w:rsidP="004F716E">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sidR="00000000">
        <w:rPr>
          <w:sz w:val="20"/>
          <w:szCs w:val="20"/>
        </w:rPr>
        <w:fldChar w:fldCharType="separate"/>
      </w:r>
      <w:r>
        <w:rPr>
          <w:sz w:val="20"/>
          <w:szCs w:val="20"/>
        </w:rPr>
        <w:fldChar w:fldCharType="end"/>
      </w:r>
      <w:r>
        <w:rPr>
          <w:sz w:val="20"/>
          <w:szCs w:val="20"/>
        </w:rPr>
        <w:fldChar w:fldCharType="begin"/>
      </w:r>
      <w:r>
        <w:rPr>
          <w:sz w:val="20"/>
          <w:szCs w:val="20"/>
        </w:rPr>
        <w:instrText xml:space="preserve"> IF 0.00 &gt; 0 "</w:instrText>
      </w:r>
    </w:p>
    <w:p w14:paraId="10CCDBD6" w14:textId="77777777" w:rsidR="00F26FC5" w:rsidRDefault="00F26FC5" w:rsidP="004F716E">
      <w:pPr>
        <w:spacing w:after="0" w:line="240" w:lineRule="auto"/>
        <w:contextualSpacing/>
        <w:rPr>
          <w:sz w:val="20"/>
          <w:szCs w:val="20"/>
        </w:rPr>
      </w:pPr>
    </w:p>
    <w:p w14:paraId="1E1A6E12" w14:textId="77777777" w:rsidR="00F26FC5" w:rsidRDefault="00F26FC5" w:rsidP="004F716E">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14:anchorId="0B45189D" wp14:editId="5EDB98A6">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r:embed="rId9" cstate="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sidR="00000000">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sidR="00000000">
        <w:rPr>
          <w:sz w:val="20"/>
          <w:szCs w:val="20"/>
        </w:rPr>
        <w:fldChar w:fldCharType="separate"/>
      </w:r>
      <w:r>
        <w:rPr>
          <w:sz w:val="20"/>
          <w:szCs w:val="20"/>
        </w:rPr>
        <w:fldChar w:fldCharType="end"/>
      </w:r>
      <w:r>
        <w:rPr>
          <w:sz w:val="20"/>
          <w:szCs w:val="20"/>
        </w:rPr>
        <w:fldChar w:fldCharType="begin"/>
      </w:r>
      <w:r>
        <w:rPr>
          <w:sz w:val="20"/>
          <w:szCs w:val="20"/>
        </w:rPr>
        <w:instrText xml:space="preserve"> IF 0.00 &gt; 0 "</w:instrText>
      </w:r>
    </w:p>
    <w:p w14:paraId="76FD6D65" w14:textId="77777777" w:rsidR="00F26FC5" w:rsidRDefault="00F26FC5" w:rsidP="004F716E">
      <w:pPr>
        <w:spacing w:after="0" w:line="240" w:lineRule="auto"/>
        <w:contextualSpacing/>
        <w:rPr>
          <w:sz w:val="20"/>
          <w:szCs w:val="20"/>
        </w:rPr>
      </w:pPr>
    </w:p>
    <w:p w14:paraId="735AB91E" w14:textId="77777777" w:rsidR="00F26FC5" w:rsidRDefault="00F26FC5" w:rsidP="004F716E">
      <w:pPr>
        <w:spacing w:after="0" w:line="240" w:lineRule="auto"/>
        <w:contextualSpacing/>
        <w:rPr>
          <w:sz w:val="20"/>
          <w:szCs w:val="20"/>
        </w:rPr>
      </w:pPr>
      <w:r>
        <w:rPr>
          <w:noProof/>
          <w:sz w:val="24"/>
          <w:szCs w:val="24"/>
        </w:rPr>
        <w:drawing>
          <wp:anchor distT="0" distB="0" distL="114300" distR="114300" simplePos="0" relativeHeight="251663360" behindDoc="0" locked="1" layoutInCell="1" allowOverlap="1" wp14:anchorId="1F38D698" wp14:editId="71262162">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r:embed="rId10" cstate="print">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sidR="00000000">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sidR="00000000">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0.00 + 0.00 + 0.00 + 0.00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14:paraId="7A7CB6CC" w14:textId="77777777" w:rsidR="00F26FC5" w:rsidRDefault="00F26FC5" w:rsidP="004F716E">
      <w:pPr>
        <w:spacing w:after="0" w:line="240" w:lineRule="auto"/>
        <w:contextualSpacing/>
        <w:rPr>
          <w:sz w:val="20"/>
          <w:szCs w:val="20"/>
        </w:rPr>
      </w:pPr>
    </w:p>
    <w:p w14:paraId="1D7D968A" w14:textId="77777777" w:rsidR="00F26FC5" w:rsidRDefault="00F26FC5" w:rsidP="004F716E">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hyperlink r:id="rId11" w:history="1">
        <w:r w:rsidRPr="000063DA">
          <w:rPr>
            <w:rStyle w:val="Hyperlink"/>
            <w:sz w:val="24"/>
            <w:szCs w:val="24"/>
          </w:rPr>
          <w:instrText>ABMS Continuing Certification Directory</w:instrText>
        </w:r>
      </w:hyperlink>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14:paraId="7604EB4B" w14:textId="77777777" w:rsidR="00F26FC5" w:rsidRDefault="00F26FC5" w:rsidP="004F716E">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sidR="00000000">
        <w:rPr>
          <w:sz w:val="20"/>
          <w:szCs w:val="20"/>
        </w:rPr>
        <w:fldChar w:fldCharType="separate"/>
      </w:r>
      <w:r>
        <w:rPr>
          <w:sz w:val="20"/>
          <w:szCs w:val="20"/>
        </w:rPr>
        <w:fldChar w:fldCharType="end"/>
      </w:r>
      <w:r>
        <w:rPr>
          <w:sz w:val="20"/>
          <w:szCs w:val="20"/>
        </w:rPr>
        <w:instrText xml:space="preserve"> &gt; 0 "</w:instrText>
      </w:r>
    </w:p>
    <w:p w14:paraId="35C3A12B" w14:textId="77777777" w:rsidR="00F26FC5" w:rsidRDefault="00F26FC5" w:rsidP="004F716E">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sidR="00000000">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sidR="00000000">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sidR="00000000">
        <w:rPr>
          <w:sz w:val="20"/>
          <w:szCs w:val="20"/>
        </w:rPr>
        <w:fldChar w:fldCharType="separate"/>
      </w:r>
      <w:r>
        <w:rPr>
          <w:sz w:val="20"/>
          <w:szCs w:val="20"/>
        </w:rPr>
        <w:fldChar w:fldCharType="end"/>
      </w:r>
      <w:r>
        <w:rPr>
          <w:sz w:val="20"/>
          <w:szCs w:val="20"/>
        </w:rPr>
        <w:instrText xml:space="preserve"> &gt; 0 "</w:instrText>
      </w:r>
    </w:p>
    <w:p w14:paraId="2D0AD174" w14:textId="77777777" w:rsidR="00F26FC5" w:rsidRDefault="00F26FC5" w:rsidP="004F716E">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sidR="00000000">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sidR="00000000">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sidR="00000000">
        <w:rPr>
          <w:sz w:val="20"/>
          <w:szCs w:val="20"/>
        </w:rPr>
        <w:fldChar w:fldCharType="separate"/>
      </w:r>
      <w:r>
        <w:rPr>
          <w:sz w:val="20"/>
          <w:szCs w:val="20"/>
        </w:rPr>
        <w:fldChar w:fldCharType="end"/>
      </w:r>
      <w:r>
        <w:rPr>
          <w:sz w:val="20"/>
          <w:szCs w:val="20"/>
        </w:rPr>
        <w:instrText xml:space="preserve"> &gt; 0 "</w:instrText>
      </w:r>
    </w:p>
    <w:p w14:paraId="13121906" w14:textId="77777777" w:rsidR="00F26FC5" w:rsidRDefault="00F26FC5" w:rsidP="004F716E">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sidR="00000000">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sidR="00000000">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sidR="00000000">
        <w:rPr>
          <w:sz w:val="20"/>
          <w:szCs w:val="20"/>
        </w:rPr>
        <w:fldChar w:fldCharType="separate"/>
      </w:r>
      <w:r>
        <w:rPr>
          <w:sz w:val="20"/>
          <w:szCs w:val="20"/>
        </w:rPr>
        <w:fldChar w:fldCharType="end"/>
      </w:r>
      <w:r>
        <w:rPr>
          <w:sz w:val="20"/>
          <w:szCs w:val="20"/>
        </w:rPr>
        <w:instrText xml:space="preserve"> &gt; 0 "</w:instrText>
      </w:r>
    </w:p>
    <w:p w14:paraId="3856B267" w14:textId="77777777" w:rsidR="00F26FC5" w:rsidRPr="000063DA" w:rsidRDefault="00F26FC5" w:rsidP="004F716E">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sidR="00000000">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sidR="00000000">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sidRPr="000063DA">
        <w:rPr>
          <w:sz w:val="24"/>
          <w:szCs w:val="24"/>
        </w:rPr>
        <w:instrText>ABMS</w:instrText>
      </w:r>
      <w:r>
        <w:rPr>
          <w:sz w:val="20"/>
          <w:szCs w:val="20"/>
        </w:rPr>
        <w:fldChar w:fldCharType="end"/>
      </w:r>
      <w:r>
        <w:rPr>
          <w:sz w:val="20"/>
          <w:szCs w:val="20"/>
        </w:rPr>
        <w:instrText xml:space="preserve">" "" </w:instrText>
      </w:r>
      <w:r>
        <w:rPr>
          <w:sz w:val="20"/>
          <w:szCs w:val="20"/>
        </w:rPr>
        <w:fldChar w:fldCharType="separate"/>
      </w:r>
    </w:p>
    <w:p w14:paraId="7106EE3C" w14:textId="77777777" w:rsidR="00F26FC5" w:rsidRDefault="00F26FC5" w:rsidP="004F716E">
      <w:pPr>
        <w:spacing w:after="0" w:line="240" w:lineRule="auto"/>
        <w:contextualSpacing/>
        <w:rPr>
          <w:sz w:val="20"/>
          <w:szCs w:val="20"/>
        </w:rPr>
      </w:pPr>
    </w:p>
    <w:p w14:paraId="31EE6550" w14:textId="77777777" w:rsidR="00F26FC5" w:rsidRDefault="00F26FC5" w:rsidP="004F716E">
      <w:pPr>
        <w:spacing w:after="0" w:line="240" w:lineRule="auto"/>
        <w:contextualSpacing/>
        <w:rPr>
          <w:sz w:val="20"/>
          <w:szCs w:val="20"/>
        </w:rPr>
      </w:pPr>
      <w:r>
        <w:rPr>
          <w:b/>
          <w:bCs/>
          <w:sz w:val="24"/>
          <w:szCs w:val="24"/>
        </w:rPr>
        <w:t>MOC Statement(s)</w:t>
      </w:r>
    </w:p>
    <w:p w14:paraId="21B18F19" w14:textId="77777777" w:rsidR="00F26FC5" w:rsidRDefault="00F26FC5" w:rsidP="004F716E">
      <w:pPr>
        <w:spacing w:after="0" w:line="240" w:lineRule="auto"/>
        <w:contextualSpacing/>
        <w:rPr>
          <w:sz w:val="20"/>
          <w:szCs w:val="20"/>
        </w:rPr>
      </w:pPr>
    </w:p>
    <w:p w14:paraId="33CB6E2D" w14:textId="187057B1" w:rsidR="00F26FC5" w:rsidRDefault="00F26FC5" w:rsidP="004F716E">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14:anchorId="63C6DCA8" wp14:editId="04CABFA0">
            <wp:simplePos x="0" y="0"/>
            <wp:positionH relativeFrom="column">
              <wp:posOffset>1905</wp:posOffset>
            </wp:positionH>
            <wp:positionV relativeFrom="paragraph">
              <wp:posOffset>4445</wp:posOffset>
            </wp:positionV>
            <wp:extent cx="1501140" cy="507365"/>
            <wp:effectExtent l="0" t="0" r="3810" b="6985"/>
            <wp:wrapSquare wrapText="bothSides"/>
            <wp:docPr id="118145038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t xml:space="preserve">Successful completion of this CME activity, which includes participation in the evaluation component, enables the participant to earn up to </w:t>
      </w:r>
      <w:r w:rsidR="007C2DF4">
        <w:rPr>
          <w:sz w:val="24"/>
          <w:szCs w:val="24"/>
        </w:rPr>
        <w:t>14.25</w:t>
      </w:r>
      <w:r w:rsidRPr="00092945">
        <w:rPr>
          <w:sz w:val="24"/>
          <w:szCs w:val="24"/>
        </w:rPr>
        <w:t xml:space="preserve"> MOC point</w:t>
      </w:r>
      <w:r>
        <w:rPr>
          <w:sz w:val="24"/>
          <w:szCs w:val="24"/>
        </w:rPr>
        <w:t>(</w:t>
      </w:r>
      <w:proofErr w:type="gramStart"/>
      <w:r>
        <w:rPr>
          <w:sz w:val="24"/>
          <w:szCs w:val="24"/>
        </w:rPr>
        <w:t xml:space="preserve">s) </w:t>
      </w:r>
      <w:r w:rsidRPr="00092945">
        <w:t xml:space="preserve"> </w:t>
      </w:r>
      <w:r w:rsidRPr="00092945">
        <w:rPr>
          <w:sz w:val="24"/>
          <w:szCs w:val="24"/>
        </w:rPr>
        <w:t>in</w:t>
      </w:r>
      <w:proofErr w:type="gramEnd"/>
      <w:r w:rsidRPr="00092945">
        <w:rPr>
          <w:sz w:val="24"/>
          <w:szCs w:val="24"/>
        </w:rPr>
        <w:t xml:space="preserve"> the American Board of Internal Medicine’s (ABIM) Maintenance of Certification (MOC) program. It is the CME activity provider’s responsibility to submit participant completion information to ACCME for the purpose of granting ABIM MOC credit.</w:t>
      </w:r>
      <w:r>
        <w:rPr>
          <w:sz w:val="20"/>
          <w:szCs w:val="20"/>
        </w:rPr>
        <w:fldChar w:fldCharType="end"/>
      </w:r>
    </w:p>
    <w:p w14:paraId="27AADE5F" w14:textId="77777777" w:rsidR="004434DA" w:rsidRPr="004434DA" w:rsidRDefault="004434DA" w:rsidP="004434DA">
      <w:pPr>
        <w:spacing w:after="0" w:line="240" w:lineRule="auto"/>
        <w:contextualSpacing/>
        <w:rPr>
          <w:sz w:val="24"/>
          <w:szCs w:val="24"/>
        </w:rPr>
      </w:pPr>
    </w:p>
    <w:p w14:paraId="1E4E81C0" w14:textId="6121B96D" w:rsidR="00F26FC5" w:rsidRDefault="004434DA" w:rsidP="004434DA">
      <w:pPr>
        <w:spacing w:after="0" w:line="240" w:lineRule="auto"/>
        <w:contextualSpacing/>
        <w:rPr>
          <w:sz w:val="20"/>
          <w:szCs w:val="20"/>
        </w:rPr>
      </w:pPr>
      <w:r w:rsidRPr="004434DA">
        <w:rPr>
          <w:sz w:val="24"/>
          <w:szCs w:val="24"/>
        </w:rPr>
        <w: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w:t>
      </w:r>
    </w:p>
    <w:p w14:paraId="7DCBBFCC" w14:textId="77777777" w:rsidR="004434DA" w:rsidRDefault="004434DA" w:rsidP="004434DA">
      <w:pPr>
        <w:spacing w:after="0" w:line="240" w:lineRule="auto"/>
        <w:contextualSpacing/>
        <w:rPr>
          <w:sz w:val="24"/>
          <w:szCs w:val="24"/>
        </w:rPr>
      </w:pPr>
    </w:p>
    <w:p w14:paraId="44D46E94" w14:textId="77777777" w:rsidR="00F26FC5" w:rsidRDefault="00F26FC5" w:rsidP="004F716E">
      <w:pPr>
        <w:spacing w:after="0" w:line="240" w:lineRule="auto"/>
        <w:contextualSpacing/>
        <w:rPr>
          <w:sz w:val="24"/>
          <w:szCs w:val="24"/>
        </w:rPr>
      </w:pPr>
      <w:r>
        <w:rPr>
          <w:b/>
          <w:bCs/>
          <w:sz w:val="24"/>
          <w:szCs w:val="24"/>
        </w:rPr>
        <w:t>Faculty &amp; Planner Disclosures</w:t>
      </w:r>
    </w:p>
    <w:p w14:paraId="5D240165" w14:textId="77777777" w:rsidR="004434DA" w:rsidRPr="004434DA" w:rsidRDefault="004434DA" w:rsidP="004434DA">
      <w:pPr>
        <w:spacing w:after="0" w:line="240" w:lineRule="auto"/>
        <w:contextualSpacing/>
        <w:rPr>
          <w:sz w:val="24"/>
          <w:szCs w:val="24"/>
        </w:rPr>
      </w:pPr>
      <w:r w:rsidRPr="004434DA">
        <w:rPr>
          <w:sz w:val="24"/>
          <w:szCs w:val="24"/>
        </w:rPr>
        <w:t>The University of California, Irvine School of Medicine adheres to ACCME Criteria, Standards and Policies regarding industry support of continuing medical education. Disclosure of faculty and their commercial relationships will be made prior to the activity.</w:t>
      </w:r>
    </w:p>
    <w:p w14:paraId="4956751B" w14:textId="77777777" w:rsidR="004434DA" w:rsidRPr="004434DA" w:rsidRDefault="004434DA" w:rsidP="004434DA">
      <w:pPr>
        <w:spacing w:after="0" w:line="240" w:lineRule="auto"/>
        <w:contextualSpacing/>
        <w:rPr>
          <w:sz w:val="24"/>
          <w:szCs w:val="24"/>
        </w:rPr>
      </w:pPr>
    </w:p>
    <w:p w14:paraId="14D7587D" w14:textId="77777777" w:rsidR="004434DA" w:rsidRPr="004434DA" w:rsidRDefault="004434DA" w:rsidP="004434DA">
      <w:pPr>
        <w:spacing w:after="0" w:line="240" w:lineRule="auto"/>
        <w:contextualSpacing/>
        <w:rPr>
          <w:sz w:val="24"/>
          <w:szCs w:val="24"/>
          <w:u w:val="single"/>
        </w:rPr>
      </w:pPr>
      <w:r w:rsidRPr="004434DA">
        <w:rPr>
          <w:sz w:val="24"/>
          <w:szCs w:val="24"/>
          <w:u w:val="single"/>
        </w:rPr>
        <w:t>Mitigation of Relevant Financial Relationships</w:t>
      </w:r>
    </w:p>
    <w:p w14:paraId="1ADF80E2" w14:textId="246A786C" w:rsidR="00F26FC5" w:rsidRPr="001420EC" w:rsidRDefault="004434DA" w:rsidP="004434DA">
      <w:pPr>
        <w:spacing w:after="0" w:line="240" w:lineRule="auto"/>
        <w:contextualSpacing/>
        <w:rPr>
          <w:sz w:val="20"/>
          <w:szCs w:val="20"/>
        </w:rPr>
      </w:pPr>
      <w:r w:rsidRPr="004434DA">
        <w:rPr>
          <w:sz w:val="24"/>
          <w:szCs w:val="24"/>
        </w:rPr>
        <w:t xml:space="preserve">University of California, Irvine School of Medicine Continuing Medical Education adheres to the ACCME’s Standards for Integrity and Independence in Accredited Continuing Education. Any individuals in a position to </w:t>
      </w:r>
      <w:r w:rsidRPr="004434DA">
        <w:rPr>
          <w:sz w:val="24"/>
          <w:szCs w:val="24"/>
        </w:rPr>
        <w:lastRenderedPageBreak/>
        <w:t xml:space="preserve">control the content of a CE activity, including faculty, planners, </w:t>
      </w:r>
      <w:proofErr w:type="gramStart"/>
      <w:r w:rsidRPr="004434DA">
        <w:rPr>
          <w:sz w:val="24"/>
          <w:szCs w:val="24"/>
        </w:rPr>
        <w:t>reviewers</w:t>
      </w:r>
      <w:proofErr w:type="gramEnd"/>
      <w:r w:rsidRPr="004434DA">
        <w:rPr>
          <w:sz w:val="24"/>
          <w:szCs w:val="24"/>
        </w:rPr>
        <w:t xml:space="preserve"> or others are required to disclose all relevant financial relationships with ineligible entities (commercial interests). All relevant conflicts of interest have been mitigated prior to the commencement of the activity.</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81"/>
        <w:gridCol w:w="2790"/>
        <w:gridCol w:w="5213"/>
      </w:tblGrid>
      <w:tr w:rsidR="00885ACF" w14:paraId="3018862F"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shd w:val="clear" w:color="auto" w:fill="F5F5F5"/>
            <w:vAlign w:val="center"/>
          </w:tcPr>
          <w:p w14:paraId="0B600CA3" w14:textId="77777777" w:rsidR="00885ACF" w:rsidRDefault="00F26FC5" w:rsidP="007C2DF4">
            <w:pPr>
              <w:spacing w:after="0"/>
              <w:jc w:val="center"/>
            </w:pPr>
            <w:r>
              <w:rPr>
                <w:b/>
              </w:rPr>
              <w:t>Name of individual</w:t>
            </w:r>
          </w:p>
        </w:tc>
        <w:tc>
          <w:tcPr>
            <w:tcW w:w="1280" w:type="pct"/>
            <w:tcBorders>
              <w:top w:val="outset" w:sz="6" w:space="0" w:color="auto"/>
              <w:left w:val="outset" w:sz="6" w:space="0" w:color="auto"/>
              <w:bottom w:val="outset" w:sz="6" w:space="0" w:color="auto"/>
              <w:right w:val="outset" w:sz="6" w:space="0" w:color="auto"/>
            </w:tcBorders>
            <w:shd w:val="clear" w:color="auto" w:fill="F5F5F5"/>
            <w:vAlign w:val="center"/>
          </w:tcPr>
          <w:p w14:paraId="7ED174F8" w14:textId="77777777" w:rsidR="00885ACF" w:rsidRDefault="00F26FC5" w:rsidP="007C2DF4">
            <w:pPr>
              <w:spacing w:after="0"/>
              <w:jc w:val="center"/>
            </w:pPr>
            <w:r>
              <w:rPr>
                <w:b/>
              </w:rPr>
              <w:t>Individual's role in activity</w:t>
            </w:r>
          </w:p>
        </w:tc>
        <w:tc>
          <w:tcPr>
            <w:tcW w:w="2396" w:type="pct"/>
            <w:tcBorders>
              <w:top w:val="outset" w:sz="6" w:space="0" w:color="auto"/>
              <w:left w:val="outset" w:sz="6" w:space="0" w:color="auto"/>
              <w:bottom w:val="outset" w:sz="6" w:space="0" w:color="auto"/>
              <w:right w:val="outset" w:sz="6" w:space="0" w:color="auto"/>
            </w:tcBorders>
            <w:shd w:val="clear" w:color="auto" w:fill="F5F5F5"/>
            <w:vAlign w:val="center"/>
          </w:tcPr>
          <w:p w14:paraId="4481514B" w14:textId="77777777" w:rsidR="00885ACF" w:rsidRDefault="00F26FC5" w:rsidP="007C2DF4">
            <w:pPr>
              <w:spacing w:after="0"/>
              <w:jc w:val="center"/>
            </w:pPr>
            <w:r>
              <w:rPr>
                <w:b/>
              </w:rPr>
              <w:t>Nature of Relationship(s) / Name of Ineligible Company(s)</w:t>
            </w:r>
          </w:p>
        </w:tc>
      </w:tr>
      <w:tr w:rsidR="007C2DF4" w14:paraId="18D48CFE"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37E08E0B" w14:textId="7A73A701" w:rsidR="007C2DF4" w:rsidRDefault="007C2DF4" w:rsidP="007C2DF4">
            <w:pPr>
              <w:spacing w:after="0"/>
            </w:pPr>
            <w:proofErr w:type="gramStart"/>
            <w:r>
              <w:rPr>
                <w:rFonts w:ascii="Calibri" w:hAnsi="Calibri" w:cs="Calibri"/>
                <w:color w:val="000000"/>
              </w:rPr>
              <w:t>Austin  Chiang</w:t>
            </w:r>
            <w:proofErr w:type="gramEnd"/>
            <w:r>
              <w:rPr>
                <w:rFonts w:ascii="Calibri" w:hAnsi="Calibri" w:cs="Calibri"/>
                <w:color w:val="000000"/>
              </w:rPr>
              <w:t>, MD, MPH</w:t>
            </w:r>
          </w:p>
        </w:tc>
        <w:tc>
          <w:tcPr>
            <w:tcW w:w="1280" w:type="pct"/>
            <w:tcBorders>
              <w:top w:val="outset" w:sz="6" w:space="0" w:color="auto"/>
              <w:left w:val="outset" w:sz="6" w:space="0" w:color="auto"/>
              <w:bottom w:val="outset" w:sz="6" w:space="0" w:color="auto"/>
              <w:right w:val="outset" w:sz="6" w:space="0" w:color="auto"/>
            </w:tcBorders>
          </w:tcPr>
          <w:p w14:paraId="3CB61516" w14:textId="02673C46" w:rsidR="007C2DF4" w:rsidRDefault="007C2DF4" w:rsidP="007C2DF4">
            <w:pPr>
              <w:spacing w:after="0"/>
            </w:pPr>
            <w:r>
              <w:rPr>
                <w:rFonts w:ascii="Calibri" w:hAnsi="Calibri" w:cs="Calibri"/>
                <w:color w:val="000000"/>
              </w:rPr>
              <w:t>Presenter</w:t>
            </w:r>
          </w:p>
        </w:tc>
        <w:tc>
          <w:tcPr>
            <w:tcW w:w="2396" w:type="pct"/>
            <w:tcBorders>
              <w:top w:val="outset" w:sz="6" w:space="0" w:color="auto"/>
              <w:left w:val="outset" w:sz="6" w:space="0" w:color="auto"/>
              <w:bottom w:val="outset" w:sz="6" w:space="0" w:color="auto"/>
              <w:right w:val="outset" w:sz="6" w:space="0" w:color="auto"/>
            </w:tcBorders>
          </w:tcPr>
          <w:p w14:paraId="3053C5B5" w14:textId="3F6720DD" w:rsidR="007C2DF4" w:rsidRDefault="007C2DF4" w:rsidP="007C2DF4">
            <w:pPr>
              <w:spacing w:after="0"/>
            </w:pPr>
            <w:r>
              <w:rPr>
                <w:rFonts w:ascii="Calibri" w:hAnsi="Calibri" w:cs="Calibri"/>
                <w:color w:val="000000"/>
              </w:rPr>
              <w:t>Employment-Medtronic (Any division)</w:t>
            </w:r>
          </w:p>
        </w:tc>
      </w:tr>
      <w:tr w:rsidR="007C2DF4" w14:paraId="1CB7889A"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2D31B6C1" w14:textId="19AE03F8" w:rsidR="007C2DF4" w:rsidRDefault="007C2DF4" w:rsidP="007C2DF4">
            <w:pPr>
              <w:spacing w:after="0"/>
            </w:pPr>
            <w:r>
              <w:rPr>
                <w:rFonts w:ascii="Calibri" w:hAnsi="Calibri" w:cs="Calibri"/>
                <w:color w:val="000000"/>
              </w:rPr>
              <w:t>Nadine Abi-</w:t>
            </w:r>
            <w:proofErr w:type="spellStart"/>
            <w:r>
              <w:rPr>
                <w:rFonts w:ascii="Calibri" w:hAnsi="Calibri" w:cs="Calibri"/>
                <w:color w:val="000000"/>
              </w:rPr>
              <w:t>Jaoudeh</w:t>
            </w:r>
            <w:proofErr w:type="spellEnd"/>
            <w:r>
              <w:rPr>
                <w:rFonts w:ascii="Calibri" w:hAnsi="Calibri" w:cs="Calibri"/>
                <w:color w:val="000000"/>
              </w:rPr>
              <w:t>, MD</w:t>
            </w:r>
          </w:p>
        </w:tc>
        <w:tc>
          <w:tcPr>
            <w:tcW w:w="1280" w:type="pct"/>
            <w:tcBorders>
              <w:top w:val="outset" w:sz="6" w:space="0" w:color="auto"/>
              <w:left w:val="outset" w:sz="6" w:space="0" w:color="auto"/>
              <w:bottom w:val="outset" w:sz="6" w:space="0" w:color="auto"/>
              <w:right w:val="outset" w:sz="6" w:space="0" w:color="auto"/>
            </w:tcBorders>
          </w:tcPr>
          <w:p w14:paraId="673CD2B7" w14:textId="63751AA7" w:rsidR="007C2DF4" w:rsidRDefault="007C2DF4" w:rsidP="007C2DF4">
            <w:pPr>
              <w:spacing w:after="0"/>
            </w:pPr>
            <w:r>
              <w:rPr>
                <w:rFonts w:ascii="Calibri" w:hAnsi="Calibri" w:cs="Calibri"/>
                <w:color w:val="000000"/>
              </w:rPr>
              <w:t>Presenter, Panelist</w:t>
            </w:r>
          </w:p>
        </w:tc>
        <w:tc>
          <w:tcPr>
            <w:tcW w:w="2396" w:type="pct"/>
            <w:tcBorders>
              <w:top w:val="outset" w:sz="6" w:space="0" w:color="auto"/>
              <w:left w:val="outset" w:sz="6" w:space="0" w:color="auto"/>
              <w:bottom w:val="outset" w:sz="6" w:space="0" w:color="auto"/>
              <w:right w:val="outset" w:sz="6" w:space="0" w:color="auto"/>
            </w:tcBorders>
          </w:tcPr>
          <w:p w14:paraId="236CB70F" w14:textId="0F7B5019" w:rsidR="007C2DF4" w:rsidRDefault="007C2DF4" w:rsidP="007C2DF4">
            <w:pPr>
              <w:spacing w:after="0"/>
            </w:pPr>
            <w:r>
              <w:rPr>
                <w:rFonts w:ascii="Calibri" w:hAnsi="Calibri" w:cs="Calibri"/>
                <w:color w:val="000000"/>
              </w:rPr>
              <w:t xml:space="preserve">Grant or research support-Philips Medical Systems </w:t>
            </w:r>
            <w:proofErr w:type="spellStart"/>
            <w:r>
              <w:rPr>
                <w:rFonts w:ascii="Calibri" w:hAnsi="Calibri" w:cs="Calibri"/>
                <w:color w:val="000000"/>
              </w:rPr>
              <w:t>Inc|Consulting</w:t>
            </w:r>
            <w:proofErr w:type="spellEnd"/>
            <w:r>
              <w:rPr>
                <w:rFonts w:ascii="Calibri" w:hAnsi="Calibri" w:cs="Calibri"/>
                <w:color w:val="000000"/>
              </w:rPr>
              <w:t xml:space="preserve"> Fee-ABK Biomedical </w:t>
            </w:r>
            <w:proofErr w:type="spellStart"/>
            <w:r>
              <w:rPr>
                <w:rFonts w:ascii="Calibri" w:hAnsi="Calibri" w:cs="Calibri"/>
                <w:color w:val="000000"/>
              </w:rPr>
              <w:t>Inc|Grant</w:t>
            </w:r>
            <w:proofErr w:type="spellEnd"/>
            <w:r>
              <w:rPr>
                <w:rFonts w:ascii="Calibri" w:hAnsi="Calibri" w:cs="Calibri"/>
                <w:color w:val="000000"/>
              </w:rPr>
              <w:t xml:space="preserve"> or research support-ABK Biomedical </w:t>
            </w:r>
            <w:proofErr w:type="spellStart"/>
            <w:r>
              <w:rPr>
                <w:rFonts w:ascii="Calibri" w:hAnsi="Calibri" w:cs="Calibri"/>
                <w:color w:val="000000"/>
              </w:rPr>
              <w:t>Inc|Grant</w:t>
            </w:r>
            <w:proofErr w:type="spellEnd"/>
            <w:r>
              <w:rPr>
                <w:rFonts w:ascii="Calibri" w:hAnsi="Calibri" w:cs="Calibri"/>
                <w:color w:val="000000"/>
              </w:rPr>
              <w:t xml:space="preserve"> or research support-</w:t>
            </w:r>
            <w:proofErr w:type="spellStart"/>
            <w:r>
              <w:rPr>
                <w:rFonts w:ascii="Calibri" w:hAnsi="Calibri" w:cs="Calibri"/>
                <w:color w:val="000000"/>
              </w:rPr>
              <w:t>Teclison</w:t>
            </w:r>
            <w:proofErr w:type="spellEnd"/>
            <w:r>
              <w:rPr>
                <w:rFonts w:ascii="Calibri" w:hAnsi="Calibri" w:cs="Calibri"/>
                <w:color w:val="000000"/>
              </w:rPr>
              <w:t xml:space="preserve"> Limited </w:t>
            </w:r>
            <w:proofErr w:type="spellStart"/>
            <w:r>
              <w:rPr>
                <w:rFonts w:ascii="Calibri" w:hAnsi="Calibri" w:cs="Calibri"/>
                <w:color w:val="000000"/>
              </w:rPr>
              <w:t>Inc|Grant</w:t>
            </w:r>
            <w:proofErr w:type="spellEnd"/>
            <w:r>
              <w:rPr>
                <w:rFonts w:ascii="Calibri" w:hAnsi="Calibri" w:cs="Calibri"/>
                <w:color w:val="000000"/>
              </w:rPr>
              <w:t xml:space="preserve"> or research support-Medtronic (Any division)|Grant or research support-Penumbra </w:t>
            </w:r>
            <w:proofErr w:type="spellStart"/>
            <w:r>
              <w:rPr>
                <w:rFonts w:ascii="Calibri" w:hAnsi="Calibri" w:cs="Calibri"/>
                <w:color w:val="000000"/>
              </w:rPr>
              <w:t>Inc|Grant</w:t>
            </w:r>
            <w:proofErr w:type="spellEnd"/>
            <w:r>
              <w:rPr>
                <w:rFonts w:ascii="Calibri" w:hAnsi="Calibri" w:cs="Calibri"/>
                <w:color w:val="000000"/>
              </w:rPr>
              <w:t xml:space="preserve"> or research support-Sheba Impact </w:t>
            </w:r>
            <w:proofErr w:type="spellStart"/>
            <w:r>
              <w:rPr>
                <w:rFonts w:ascii="Calibri" w:hAnsi="Calibri" w:cs="Calibri"/>
                <w:color w:val="000000"/>
              </w:rPr>
              <w:t>Inc|Grant</w:t>
            </w:r>
            <w:proofErr w:type="spellEnd"/>
            <w:r>
              <w:rPr>
                <w:rFonts w:ascii="Calibri" w:hAnsi="Calibri" w:cs="Calibri"/>
                <w:color w:val="000000"/>
              </w:rPr>
              <w:t xml:space="preserve"> or research support-</w:t>
            </w:r>
            <w:proofErr w:type="spellStart"/>
            <w:r>
              <w:rPr>
                <w:rFonts w:ascii="Calibri" w:hAnsi="Calibri" w:cs="Calibri"/>
                <w:color w:val="000000"/>
              </w:rPr>
              <w:t>Guerbet</w:t>
            </w:r>
            <w:proofErr w:type="spellEnd"/>
            <w:r>
              <w:rPr>
                <w:rFonts w:ascii="Calibri" w:hAnsi="Calibri" w:cs="Calibri"/>
                <w:color w:val="000000"/>
              </w:rPr>
              <w:t xml:space="preserve"> SA, Varian </w:t>
            </w:r>
            <w:proofErr w:type="spellStart"/>
            <w:r>
              <w:rPr>
                <w:rFonts w:ascii="Calibri" w:hAnsi="Calibri" w:cs="Calibri"/>
                <w:color w:val="000000"/>
              </w:rPr>
              <w:t>Inc.|Grant</w:t>
            </w:r>
            <w:proofErr w:type="spellEnd"/>
            <w:r>
              <w:rPr>
                <w:rFonts w:ascii="Calibri" w:hAnsi="Calibri" w:cs="Calibri"/>
                <w:color w:val="000000"/>
              </w:rPr>
              <w:t xml:space="preserve"> or research support-</w:t>
            </w:r>
            <w:proofErr w:type="spellStart"/>
            <w:r>
              <w:rPr>
                <w:rFonts w:ascii="Calibri" w:hAnsi="Calibri" w:cs="Calibri"/>
                <w:color w:val="000000"/>
              </w:rPr>
              <w:t>Instylla</w:t>
            </w:r>
            <w:proofErr w:type="spellEnd"/>
            <w:r>
              <w:rPr>
                <w:rFonts w:ascii="Calibri" w:hAnsi="Calibri" w:cs="Calibri"/>
                <w:color w:val="000000"/>
              </w:rPr>
              <w:t xml:space="preserve"> HES </w:t>
            </w:r>
            <w:proofErr w:type="spellStart"/>
            <w:r>
              <w:rPr>
                <w:rFonts w:ascii="Calibri" w:hAnsi="Calibri" w:cs="Calibri"/>
                <w:color w:val="000000"/>
              </w:rPr>
              <w:t>Inc|Consulting</w:t>
            </w:r>
            <w:proofErr w:type="spellEnd"/>
            <w:r>
              <w:rPr>
                <w:rFonts w:ascii="Calibri" w:hAnsi="Calibri" w:cs="Calibri"/>
                <w:color w:val="000000"/>
              </w:rPr>
              <w:t xml:space="preserve"> Fee-Eisai, </w:t>
            </w:r>
            <w:proofErr w:type="spellStart"/>
            <w:r>
              <w:rPr>
                <w:rFonts w:ascii="Calibri" w:hAnsi="Calibri" w:cs="Calibri"/>
                <w:color w:val="000000"/>
              </w:rPr>
              <w:t>Inc.|Grant</w:t>
            </w:r>
            <w:proofErr w:type="spellEnd"/>
            <w:r>
              <w:rPr>
                <w:rFonts w:ascii="Calibri" w:hAnsi="Calibri" w:cs="Calibri"/>
                <w:color w:val="000000"/>
              </w:rPr>
              <w:t xml:space="preserve"> or research support-</w:t>
            </w:r>
            <w:proofErr w:type="spellStart"/>
            <w:r>
              <w:rPr>
                <w:rFonts w:ascii="Calibri" w:hAnsi="Calibri" w:cs="Calibri"/>
                <w:color w:val="000000"/>
              </w:rPr>
              <w:t>Sirtex</w:t>
            </w:r>
            <w:proofErr w:type="spellEnd"/>
            <w:r>
              <w:rPr>
                <w:rFonts w:ascii="Calibri" w:hAnsi="Calibri" w:cs="Calibri"/>
                <w:color w:val="000000"/>
              </w:rPr>
              <w:t xml:space="preserve"> Medical </w:t>
            </w:r>
            <w:proofErr w:type="spellStart"/>
            <w:r>
              <w:rPr>
                <w:rFonts w:ascii="Calibri" w:hAnsi="Calibri" w:cs="Calibri"/>
                <w:color w:val="000000"/>
              </w:rPr>
              <w:t>Ltd|Grant</w:t>
            </w:r>
            <w:proofErr w:type="spellEnd"/>
            <w:r>
              <w:rPr>
                <w:rFonts w:ascii="Calibri" w:hAnsi="Calibri" w:cs="Calibri"/>
                <w:color w:val="000000"/>
              </w:rPr>
              <w:t xml:space="preserve"> or research support-</w:t>
            </w:r>
            <w:proofErr w:type="spellStart"/>
            <w:r>
              <w:rPr>
                <w:rFonts w:ascii="Calibri" w:hAnsi="Calibri" w:cs="Calibri"/>
                <w:color w:val="000000"/>
              </w:rPr>
              <w:t>Angiodynamics</w:t>
            </w:r>
            <w:proofErr w:type="spellEnd"/>
            <w:r>
              <w:rPr>
                <w:rFonts w:ascii="Calibri" w:hAnsi="Calibri" w:cs="Calibri"/>
                <w:color w:val="000000"/>
              </w:rPr>
              <w:t xml:space="preserve"> Inc |Ownership-Bruin Biosciences </w:t>
            </w:r>
            <w:proofErr w:type="spellStart"/>
            <w:r>
              <w:rPr>
                <w:rFonts w:ascii="Calibri" w:hAnsi="Calibri" w:cs="Calibri"/>
                <w:color w:val="000000"/>
              </w:rPr>
              <w:t>Inc|Consulting</w:t>
            </w:r>
            <w:proofErr w:type="spellEnd"/>
            <w:r>
              <w:rPr>
                <w:rFonts w:ascii="Calibri" w:hAnsi="Calibri" w:cs="Calibri"/>
                <w:color w:val="000000"/>
              </w:rPr>
              <w:t xml:space="preserve"> Fee-Innova Vascular </w:t>
            </w:r>
            <w:proofErr w:type="spellStart"/>
            <w:r>
              <w:rPr>
                <w:rFonts w:ascii="Calibri" w:hAnsi="Calibri" w:cs="Calibri"/>
                <w:color w:val="000000"/>
              </w:rPr>
              <w:t>Inc|Consulting</w:t>
            </w:r>
            <w:proofErr w:type="spellEnd"/>
            <w:r>
              <w:rPr>
                <w:rFonts w:ascii="Calibri" w:hAnsi="Calibri" w:cs="Calibri"/>
                <w:color w:val="000000"/>
              </w:rPr>
              <w:t xml:space="preserve"> Fee-</w:t>
            </w:r>
            <w:proofErr w:type="spellStart"/>
            <w:r>
              <w:rPr>
                <w:rFonts w:ascii="Calibri" w:hAnsi="Calibri" w:cs="Calibri"/>
                <w:color w:val="000000"/>
              </w:rPr>
              <w:t>Angiodynamics</w:t>
            </w:r>
            <w:proofErr w:type="spellEnd"/>
            <w:r>
              <w:rPr>
                <w:rFonts w:ascii="Calibri" w:hAnsi="Calibri" w:cs="Calibri"/>
                <w:color w:val="000000"/>
              </w:rPr>
              <w:t xml:space="preserve"> </w:t>
            </w:r>
            <w:proofErr w:type="spellStart"/>
            <w:r>
              <w:rPr>
                <w:rFonts w:ascii="Calibri" w:hAnsi="Calibri" w:cs="Calibri"/>
                <w:color w:val="000000"/>
              </w:rPr>
              <w:t>Inc.|Consulting</w:t>
            </w:r>
            <w:proofErr w:type="spellEnd"/>
            <w:r>
              <w:rPr>
                <w:rFonts w:ascii="Calibri" w:hAnsi="Calibri" w:cs="Calibri"/>
                <w:color w:val="000000"/>
              </w:rPr>
              <w:t xml:space="preserve"> Fee-</w:t>
            </w:r>
            <w:proofErr w:type="spellStart"/>
            <w:r>
              <w:rPr>
                <w:rFonts w:ascii="Calibri" w:hAnsi="Calibri" w:cs="Calibri"/>
                <w:color w:val="000000"/>
              </w:rPr>
              <w:t>Instylla</w:t>
            </w:r>
            <w:proofErr w:type="spellEnd"/>
            <w:r>
              <w:rPr>
                <w:rFonts w:ascii="Calibri" w:hAnsi="Calibri" w:cs="Calibri"/>
                <w:color w:val="000000"/>
              </w:rPr>
              <w:t xml:space="preserve"> HES </w:t>
            </w:r>
            <w:proofErr w:type="spellStart"/>
            <w:r>
              <w:rPr>
                <w:rFonts w:ascii="Calibri" w:hAnsi="Calibri" w:cs="Calibri"/>
                <w:color w:val="000000"/>
              </w:rPr>
              <w:t>Inc.|Consulting</w:t>
            </w:r>
            <w:proofErr w:type="spellEnd"/>
            <w:r>
              <w:rPr>
                <w:rFonts w:ascii="Calibri" w:hAnsi="Calibri" w:cs="Calibri"/>
                <w:color w:val="000000"/>
              </w:rPr>
              <w:t xml:space="preserve"> Fee-SIRTEX </w:t>
            </w:r>
            <w:proofErr w:type="spellStart"/>
            <w:r>
              <w:rPr>
                <w:rFonts w:ascii="Calibri" w:hAnsi="Calibri" w:cs="Calibri"/>
                <w:color w:val="000000"/>
              </w:rPr>
              <w:t>Inc.|Consulting</w:t>
            </w:r>
            <w:proofErr w:type="spellEnd"/>
            <w:r>
              <w:rPr>
                <w:rFonts w:ascii="Calibri" w:hAnsi="Calibri" w:cs="Calibri"/>
                <w:color w:val="000000"/>
              </w:rPr>
              <w:t xml:space="preserve"> Fee-Boston Scientific </w:t>
            </w:r>
            <w:proofErr w:type="spellStart"/>
            <w:r>
              <w:rPr>
                <w:rFonts w:ascii="Calibri" w:hAnsi="Calibri" w:cs="Calibri"/>
                <w:color w:val="000000"/>
              </w:rPr>
              <w:t>Corporation|Consulting</w:t>
            </w:r>
            <w:proofErr w:type="spellEnd"/>
            <w:r>
              <w:rPr>
                <w:rFonts w:ascii="Calibri" w:hAnsi="Calibri" w:cs="Calibri"/>
                <w:color w:val="000000"/>
              </w:rPr>
              <w:t xml:space="preserve"> Fee-Genentech (Any division)|Consulting Fee-F. Hoffmann-La Roche Ltd|Consulting Fee-AstraZeneca (Any division)|Grant or research </w:t>
            </w:r>
            <w:proofErr w:type="spellStart"/>
            <w:r>
              <w:rPr>
                <w:rFonts w:ascii="Calibri" w:hAnsi="Calibri" w:cs="Calibri"/>
                <w:color w:val="000000"/>
              </w:rPr>
              <w:t>support-RenovoRx|Advisor-RenovoRx|Consulting</w:t>
            </w:r>
            <w:proofErr w:type="spellEnd"/>
            <w:r>
              <w:rPr>
                <w:rFonts w:ascii="Calibri" w:hAnsi="Calibri" w:cs="Calibri"/>
                <w:color w:val="000000"/>
              </w:rPr>
              <w:t xml:space="preserve"> Fee-Terumo (Any division)|Consulting Fee-IVQIA</w:t>
            </w:r>
          </w:p>
        </w:tc>
      </w:tr>
      <w:tr w:rsidR="007C2DF4" w14:paraId="031AE78D"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480040BB" w14:textId="41570BBA" w:rsidR="007C2DF4" w:rsidRDefault="007C2DF4" w:rsidP="007C2DF4">
            <w:pPr>
              <w:spacing w:after="0"/>
            </w:pPr>
            <w:proofErr w:type="spellStart"/>
            <w:r>
              <w:rPr>
                <w:rFonts w:ascii="Calibri" w:hAnsi="Calibri" w:cs="Calibri"/>
                <w:color w:val="000000"/>
              </w:rPr>
              <w:t>Latifat</w:t>
            </w:r>
            <w:proofErr w:type="spellEnd"/>
            <w:r>
              <w:rPr>
                <w:rFonts w:ascii="Calibri" w:hAnsi="Calibri" w:cs="Calibri"/>
                <w:color w:val="000000"/>
              </w:rPr>
              <w:t xml:space="preserve"> Akintade, MD</w:t>
            </w:r>
          </w:p>
        </w:tc>
        <w:tc>
          <w:tcPr>
            <w:tcW w:w="1280" w:type="pct"/>
            <w:tcBorders>
              <w:top w:val="outset" w:sz="6" w:space="0" w:color="auto"/>
              <w:left w:val="outset" w:sz="6" w:space="0" w:color="auto"/>
              <w:bottom w:val="outset" w:sz="6" w:space="0" w:color="auto"/>
              <w:right w:val="outset" w:sz="6" w:space="0" w:color="auto"/>
            </w:tcBorders>
          </w:tcPr>
          <w:p w14:paraId="4CC01608" w14:textId="49FCA401" w:rsidR="007C2DF4" w:rsidRDefault="007C2DF4" w:rsidP="007C2DF4">
            <w:pPr>
              <w:spacing w:after="0"/>
            </w:pPr>
            <w:r>
              <w:rPr>
                <w:rFonts w:ascii="Calibri" w:hAnsi="Calibri" w:cs="Calibri"/>
                <w:color w:val="000000"/>
              </w:rPr>
              <w:t>Presenter</w:t>
            </w:r>
          </w:p>
        </w:tc>
        <w:tc>
          <w:tcPr>
            <w:tcW w:w="2396" w:type="pct"/>
            <w:tcBorders>
              <w:top w:val="outset" w:sz="6" w:space="0" w:color="auto"/>
              <w:left w:val="outset" w:sz="6" w:space="0" w:color="auto"/>
              <w:bottom w:val="outset" w:sz="6" w:space="0" w:color="auto"/>
              <w:right w:val="outset" w:sz="6" w:space="0" w:color="auto"/>
            </w:tcBorders>
          </w:tcPr>
          <w:p w14:paraId="001A116B" w14:textId="5807407D" w:rsidR="007C2DF4" w:rsidRDefault="007C2DF4" w:rsidP="007C2DF4">
            <w:pPr>
              <w:spacing w:after="0"/>
            </w:pPr>
            <w:r>
              <w:rPr>
                <w:rFonts w:ascii="Calibri" w:hAnsi="Calibri" w:cs="Calibri"/>
                <w:color w:val="000000"/>
              </w:rPr>
              <w:t>Nothing to disclose</w:t>
            </w:r>
          </w:p>
        </w:tc>
      </w:tr>
      <w:tr w:rsidR="007C2DF4" w14:paraId="314E8007"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3A31D01C" w14:textId="5FA432A4" w:rsidR="007C2DF4" w:rsidRDefault="007C2DF4" w:rsidP="007C2DF4">
            <w:pPr>
              <w:spacing w:after="0"/>
            </w:pPr>
            <w:r>
              <w:rPr>
                <w:rFonts w:ascii="Calibri" w:hAnsi="Calibri" w:cs="Calibri"/>
                <w:color w:val="000000"/>
              </w:rPr>
              <w:t xml:space="preserve">Reed </w:t>
            </w:r>
            <w:proofErr w:type="spellStart"/>
            <w:r>
              <w:rPr>
                <w:rFonts w:ascii="Calibri" w:hAnsi="Calibri" w:cs="Calibri"/>
                <w:color w:val="000000"/>
              </w:rPr>
              <w:t>Ayabe</w:t>
            </w:r>
            <w:proofErr w:type="spellEnd"/>
            <w:r>
              <w:rPr>
                <w:rFonts w:ascii="Calibri" w:hAnsi="Calibri" w:cs="Calibri"/>
                <w:color w:val="000000"/>
              </w:rPr>
              <w:t>, MD</w:t>
            </w:r>
          </w:p>
        </w:tc>
        <w:tc>
          <w:tcPr>
            <w:tcW w:w="1280" w:type="pct"/>
            <w:tcBorders>
              <w:top w:val="outset" w:sz="6" w:space="0" w:color="auto"/>
              <w:left w:val="outset" w:sz="6" w:space="0" w:color="auto"/>
              <w:bottom w:val="outset" w:sz="6" w:space="0" w:color="auto"/>
              <w:right w:val="outset" w:sz="6" w:space="0" w:color="auto"/>
            </w:tcBorders>
          </w:tcPr>
          <w:p w14:paraId="240999C1" w14:textId="75DE63DA" w:rsidR="007C2DF4" w:rsidRDefault="007C2DF4" w:rsidP="007C2DF4">
            <w:pPr>
              <w:spacing w:after="0"/>
            </w:pPr>
            <w:r>
              <w:rPr>
                <w:rFonts w:ascii="Calibri" w:hAnsi="Calibri" w:cs="Calibri"/>
                <w:color w:val="000000"/>
              </w:rPr>
              <w:t>Presenter, Panelist</w:t>
            </w:r>
          </w:p>
        </w:tc>
        <w:tc>
          <w:tcPr>
            <w:tcW w:w="2396" w:type="pct"/>
            <w:tcBorders>
              <w:top w:val="outset" w:sz="6" w:space="0" w:color="auto"/>
              <w:left w:val="outset" w:sz="6" w:space="0" w:color="auto"/>
              <w:bottom w:val="outset" w:sz="6" w:space="0" w:color="auto"/>
              <w:right w:val="outset" w:sz="6" w:space="0" w:color="auto"/>
            </w:tcBorders>
          </w:tcPr>
          <w:p w14:paraId="1F5C41A1" w14:textId="01506C6B" w:rsidR="007C2DF4" w:rsidRDefault="007C2DF4" w:rsidP="007C2DF4">
            <w:pPr>
              <w:spacing w:after="0"/>
            </w:pPr>
            <w:r>
              <w:rPr>
                <w:rFonts w:ascii="Calibri" w:hAnsi="Calibri" w:cs="Calibri"/>
                <w:color w:val="000000"/>
              </w:rPr>
              <w:t>Consulting Fee-Applied Medical</w:t>
            </w:r>
          </w:p>
        </w:tc>
      </w:tr>
      <w:tr w:rsidR="007C2DF4" w14:paraId="677B0284"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2B924B69" w14:textId="342B01D1" w:rsidR="007C2DF4" w:rsidRDefault="007C2DF4" w:rsidP="007C2DF4">
            <w:pPr>
              <w:spacing w:after="0"/>
            </w:pPr>
            <w:r>
              <w:rPr>
                <w:rFonts w:ascii="Calibri" w:hAnsi="Calibri" w:cs="Calibri"/>
                <w:color w:val="000000"/>
              </w:rPr>
              <w:t>Rebecca Bennett, MD</w:t>
            </w:r>
          </w:p>
        </w:tc>
        <w:tc>
          <w:tcPr>
            <w:tcW w:w="1280" w:type="pct"/>
            <w:tcBorders>
              <w:top w:val="outset" w:sz="6" w:space="0" w:color="auto"/>
              <w:left w:val="outset" w:sz="6" w:space="0" w:color="auto"/>
              <w:bottom w:val="outset" w:sz="6" w:space="0" w:color="auto"/>
              <w:right w:val="outset" w:sz="6" w:space="0" w:color="auto"/>
            </w:tcBorders>
          </w:tcPr>
          <w:p w14:paraId="2663BDD5" w14:textId="4F5DA043" w:rsidR="007C2DF4" w:rsidRDefault="007C2DF4" w:rsidP="007C2DF4">
            <w:pPr>
              <w:spacing w:after="0"/>
            </w:pPr>
            <w:r>
              <w:rPr>
                <w:rFonts w:ascii="Calibri" w:hAnsi="Calibri" w:cs="Calibri"/>
                <w:color w:val="000000"/>
              </w:rPr>
              <w:t>Presenter, Panelist</w:t>
            </w:r>
          </w:p>
        </w:tc>
        <w:tc>
          <w:tcPr>
            <w:tcW w:w="2396" w:type="pct"/>
            <w:tcBorders>
              <w:top w:val="outset" w:sz="6" w:space="0" w:color="auto"/>
              <w:left w:val="outset" w:sz="6" w:space="0" w:color="auto"/>
              <w:bottom w:val="outset" w:sz="6" w:space="0" w:color="auto"/>
              <w:right w:val="outset" w:sz="6" w:space="0" w:color="auto"/>
            </w:tcBorders>
          </w:tcPr>
          <w:p w14:paraId="5B76612E" w14:textId="0B2A20FB" w:rsidR="007C2DF4" w:rsidRDefault="007C2DF4" w:rsidP="007C2DF4">
            <w:pPr>
              <w:spacing w:after="0"/>
            </w:pPr>
            <w:r>
              <w:rPr>
                <w:rFonts w:ascii="Calibri" w:hAnsi="Calibri" w:cs="Calibri"/>
                <w:color w:val="000000"/>
              </w:rPr>
              <w:t>Nothing to disclose</w:t>
            </w:r>
          </w:p>
        </w:tc>
      </w:tr>
      <w:tr w:rsidR="007C2DF4" w14:paraId="6F8564DE"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751C75DD" w14:textId="323CB25A" w:rsidR="007C2DF4" w:rsidRDefault="007C2DF4" w:rsidP="007C2DF4">
            <w:pPr>
              <w:spacing w:after="0"/>
            </w:pPr>
            <w:r>
              <w:rPr>
                <w:rFonts w:ascii="Calibri" w:hAnsi="Calibri" w:cs="Calibri"/>
                <w:color w:val="000000"/>
              </w:rPr>
              <w:t>Joseph Carmichael, MD</w:t>
            </w:r>
          </w:p>
        </w:tc>
        <w:tc>
          <w:tcPr>
            <w:tcW w:w="1280" w:type="pct"/>
            <w:tcBorders>
              <w:top w:val="outset" w:sz="6" w:space="0" w:color="auto"/>
              <w:left w:val="outset" w:sz="6" w:space="0" w:color="auto"/>
              <w:bottom w:val="outset" w:sz="6" w:space="0" w:color="auto"/>
              <w:right w:val="outset" w:sz="6" w:space="0" w:color="auto"/>
            </w:tcBorders>
          </w:tcPr>
          <w:p w14:paraId="5FE29F69" w14:textId="29BC373A" w:rsidR="007C2DF4" w:rsidRDefault="007C2DF4" w:rsidP="007C2DF4">
            <w:pPr>
              <w:spacing w:after="0"/>
            </w:pPr>
            <w:r>
              <w:rPr>
                <w:rFonts w:ascii="Calibri" w:hAnsi="Calibri" w:cs="Calibri"/>
                <w:color w:val="000000"/>
              </w:rPr>
              <w:t>Panelist, Presenter</w:t>
            </w:r>
          </w:p>
        </w:tc>
        <w:tc>
          <w:tcPr>
            <w:tcW w:w="2396" w:type="pct"/>
            <w:tcBorders>
              <w:top w:val="outset" w:sz="6" w:space="0" w:color="auto"/>
              <w:left w:val="outset" w:sz="6" w:space="0" w:color="auto"/>
              <w:bottom w:val="outset" w:sz="6" w:space="0" w:color="auto"/>
              <w:right w:val="outset" w:sz="6" w:space="0" w:color="auto"/>
            </w:tcBorders>
          </w:tcPr>
          <w:p w14:paraId="140A705D" w14:textId="1B8B5A80" w:rsidR="007C2DF4" w:rsidRDefault="007C2DF4" w:rsidP="007C2DF4">
            <w:pPr>
              <w:spacing w:after="0"/>
            </w:pPr>
            <w:r>
              <w:rPr>
                <w:rFonts w:ascii="Calibri" w:hAnsi="Calibri" w:cs="Calibri"/>
                <w:color w:val="000000"/>
              </w:rPr>
              <w:t>Nothing to disclose</w:t>
            </w:r>
          </w:p>
        </w:tc>
      </w:tr>
      <w:tr w:rsidR="007C2DF4" w14:paraId="267C3AF3"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6B7B849E" w14:textId="5A3C41A7" w:rsidR="007C2DF4" w:rsidRDefault="007C2DF4" w:rsidP="007C2DF4">
            <w:pPr>
              <w:spacing w:after="0"/>
            </w:pPr>
            <w:r>
              <w:rPr>
                <w:rFonts w:ascii="Calibri" w:hAnsi="Calibri" w:cs="Calibri"/>
                <w:color w:val="000000"/>
              </w:rPr>
              <w:t>Olivia Chang, MD, MPH</w:t>
            </w:r>
          </w:p>
        </w:tc>
        <w:tc>
          <w:tcPr>
            <w:tcW w:w="1280" w:type="pct"/>
            <w:tcBorders>
              <w:top w:val="outset" w:sz="6" w:space="0" w:color="auto"/>
              <w:left w:val="outset" w:sz="6" w:space="0" w:color="auto"/>
              <w:bottom w:val="outset" w:sz="6" w:space="0" w:color="auto"/>
              <w:right w:val="outset" w:sz="6" w:space="0" w:color="auto"/>
            </w:tcBorders>
          </w:tcPr>
          <w:p w14:paraId="7C9B97DB" w14:textId="6E45F52D" w:rsidR="007C2DF4" w:rsidRDefault="007C2DF4" w:rsidP="007C2DF4">
            <w:pPr>
              <w:spacing w:after="0"/>
            </w:pPr>
            <w:r>
              <w:rPr>
                <w:rFonts w:ascii="Calibri" w:hAnsi="Calibri" w:cs="Calibri"/>
                <w:color w:val="000000"/>
              </w:rPr>
              <w:t>Presenter, Panelist</w:t>
            </w:r>
          </w:p>
        </w:tc>
        <w:tc>
          <w:tcPr>
            <w:tcW w:w="2396" w:type="pct"/>
            <w:tcBorders>
              <w:top w:val="outset" w:sz="6" w:space="0" w:color="auto"/>
              <w:left w:val="outset" w:sz="6" w:space="0" w:color="auto"/>
              <w:bottom w:val="outset" w:sz="6" w:space="0" w:color="auto"/>
              <w:right w:val="outset" w:sz="6" w:space="0" w:color="auto"/>
            </w:tcBorders>
          </w:tcPr>
          <w:p w14:paraId="781DB380" w14:textId="64398296" w:rsidR="007C2DF4" w:rsidRDefault="007C2DF4" w:rsidP="007C2DF4">
            <w:pPr>
              <w:spacing w:after="0"/>
            </w:pPr>
            <w:r>
              <w:rPr>
                <w:rFonts w:ascii="Calibri" w:hAnsi="Calibri" w:cs="Calibri"/>
                <w:color w:val="000000"/>
              </w:rPr>
              <w:t>Nothing to disclose</w:t>
            </w:r>
          </w:p>
        </w:tc>
      </w:tr>
      <w:tr w:rsidR="007C2DF4" w14:paraId="491EC6C2"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06EE4317" w14:textId="5DF79177" w:rsidR="007C2DF4" w:rsidRDefault="007C2DF4" w:rsidP="007C2DF4">
            <w:pPr>
              <w:spacing w:after="0"/>
            </w:pPr>
            <w:r>
              <w:rPr>
                <w:rFonts w:ascii="Calibri" w:hAnsi="Calibri" w:cs="Calibri"/>
                <w:color w:val="000000"/>
              </w:rPr>
              <w:t>April Choi, MD</w:t>
            </w:r>
          </w:p>
        </w:tc>
        <w:tc>
          <w:tcPr>
            <w:tcW w:w="1280" w:type="pct"/>
            <w:tcBorders>
              <w:top w:val="outset" w:sz="6" w:space="0" w:color="auto"/>
              <w:left w:val="outset" w:sz="6" w:space="0" w:color="auto"/>
              <w:bottom w:val="outset" w:sz="6" w:space="0" w:color="auto"/>
              <w:right w:val="outset" w:sz="6" w:space="0" w:color="auto"/>
            </w:tcBorders>
          </w:tcPr>
          <w:p w14:paraId="7D906F6A" w14:textId="42D02B5A" w:rsidR="007C2DF4" w:rsidRDefault="007C2DF4" w:rsidP="007C2DF4">
            <w:pPr>
              <w:spacing w:after="0"/>
            </w:pPr>
            <w:r>
              <w:rPr>
                <w:rFonts w:ascii="Calibri" w:hAnsi="Calibri" w:cs="Calibri"/>
                <w:color w:val="000000"/>
              </w:rPr>
              <w:t>Presenter, Panelist</w:t>
            </w:r>
          </w:p>
        </w:tc>
        <w:tc>
          <w:tcPr>
            <w:tcW w:w="2396" w:type="pct"/>
            <w:tcBorders>
              <w:top w:val="outset" w:sz="6" w:space="0" w:color="auto"/>
              <w:left w:val="outset" w:sz="6" w:space="0" w:color="auto"/>
              <w:bottom w:val="outset" w:sz="6" w:space="0" w:color="auto"/>
              <w:right w:val="outset" w:sz="6" w:space="0" w:color="auto"/>
            </w:tcBorders>
          </w:tcPr>
          <w:p w14:paraId="290F4034" w14:textId="18CF419D" w:rsidR="007C2DF4" w:rsidRDefault="007C2DF4" w:rsidP="007C2DF4">
            <w:pPr>
              <w:spacing w:after="0"/>
            </w:pPr>
            <w:r>
              <w:rPr>
                <w:rFonts w:ascii="Calibri" w:hAnsi="Calibri" w:cs="Calibri"/>
                <w:color w:val="000000"/>
              </w:rPr>
              <w:t>Nothing to disclose</w:t>
            </w:r>
          </w:p>
        </w:tc>
      </w:tr>
      <w:tr w:rsidR="007C2DF4" w14:paraId="6223C4C4"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3CBBDF56" w14:textId="56B33635" w:rsidR="007C2DF4" w:rsidRDefault="007C2DF4" w:rsidP="007C2DF4">
            <w:pPr>
              <w:spacing w:after="0"/>
            </w:pPr>
            <w:r>
              <w:rPr>
                <w:rFonts w:ascii="Calibri" w:hAnsi="Calibri" w:cs="Calibri"/>
                <w:color w:val="000000"/>
              </w:rPr>
              <w:t>Shaun Daly, MD</w:t>
            </w:r>
          </w:p>
        </w:tc>
        <w:tc>
          <w:tcPr>
            <w:tcW w:w="1280" w:type="pct"/>
            <w:tcBorders>
              <w:top w:val="outset" w:sz="6" w:space="0" w:color="auto"/>
              <w:left w:val="outset" w:sz="6" w:space="0" w:color="auto"/>
              <w:bottom w:val="outset" w:sz="6" w:space="0" w:color="auto"/>
              <w:right w:val="outset" w:sz="6" w:space="0" w:color="auto"/>
            </w:tcBorders>
          </w:tcPr>
          <w:p w14:paraId="0E73BE70" w14:textId="335F0EE0" w:rsidR="007C2DF4" w:rsidRDefault="007C2DF4" w:rsidP="007C2DF4">
            <w:pPr>
              <w:spacing w:after="0"/>
            </w:pPr>
            <w:r>
              <w:rPr>
                <w:rFonts w:ascii="Calibri" w:hAnsi="Calibri" w:cs="Calibri"/>
                <w:color w:val="000000"/>
              </w:rPr>
              <w:t>Presenter, Moderator, Panelist</w:t>
            </w:r>
          </w:p>
        </w:tc>
        <w:tc>
          <w:tcPr>
            <w:tcW w:w="2396" w:type="pct"/>
            <w:tcBorders>
              <w:top w:val="outset" w:sz="6" w:space="0" w:color="auto"/>
              <w:left w:val="outset" w:sz="6" w:space="0" w:color="auto"/>
              <w:bottom w:val="outset" w:sz="6" w:space="0" w:color="auto"/>
              <w:right w:val="outset" w:sz="6" w:space="0" w:color="auto"/>
            </w:tcBorders>
          </w:tcPr>
          <w:p w14:paraId="095D7A26" w14:textId="514249E1" w:rsidR="007C2DF4" w:rsidRDefault="007C2DF4" w:rsidP="007C2DF4">
            <w:pPr>
              <w:spacing w:after="0"/>
            </w:pPr>
            <w:r>
              <w:rPr>
                <w:rFonts w:ascii="Calibri" w:hAnsi="Calibri" w:cs="Calibri"/>
                <w:color w:val="000000"/>
              </w:rPr>
              <w:t>Nothing to disclose</w:t>
            </w:r>
          </w:p>
        </w:tc>
      </w:tr>
      <w:tr w:rsidR="007C2DF4" w14:paraId="145256E7"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11407F8D" w14:textId="1A0AEBDA" w:rsidR="007C2DF4" w:rsidRDefault="007C2DF4" w:rsidP="007C2DF4">
            <w:pPr>
              <w:spacing w:after="0"/>
            </w:pPr>
            <w:r>
              <w:rPr>
                <w:rFonts w:ascii="Calibri" w:hAnsi="Calibri" w:cs="Calibri"/>
                <w:color w:val="000000"/>
              </w:rPr>
              <w:t>Frances Dang, MD</w:t>
            </w:r>
          </w:p>
        </w:tc>
        <w:tc>
          <w:tcPr>
            <w:tcW w:w="1280" w:type="pct"/>
            <w:tcBorders>
              <w:top w:val="outset" w:sz="6" w:space="0" w:color="auto"/>
              <w:left w:val="outset" w:sz="6" w:space="0" w:color="auto"/>
              <w:bottom w:val="outset" w:sz="6" w:space="0" w:color="auto"/>
              <w:right w:val="outset" w:sz="6" w:space="0" w:color="auto"/>
            </w:tcBorders>
          </w:tcPr>
          <w:p w14:paraId="726A10B9" w14:textId="59C2B5EC" w:rsidR="007C2DF4" w:rsidRDefault="007C2DF4" w:rsidP="007C2DF4">
            <w:pPr>
              <w:spacing w:after="0"/>
            </w:pPr>
            <w:r>
              <w:rPr>
                <w:rFonts w:ascii="Calibri" w:hAnsi="Calibri" w:cs="Calibri"/>
                <w:color w:val="000000"/>
              </w:rPr>
              <w:t>Moderator, Presenter, Panelist</w:t>
            </w:r>
          </w:p>
        </w:tc>
        <w:tc>
          <w:tcPr>
            <w:tcW w:w="2396" w:type="pct"/>
            <w:tcBorders>
              <w:top w:val="outset" w:sz="6" w:space="0" w:color="auto"/>
              <w:left w:val="outset" w:sz="6" w:space="0" w:color="auto"/>
              <w:bottom w:val="outset" w:sz="6" w:space="0" w:color="auto"/>
              <w:right w:val="outset" w:sz="6" w:space="0" w:color="auto"/>
            </w:tcBorders>
          </w:tcPr>
          <w:p w14:paraId="6A107481" w14:textId="75AEB7B3" w:rsidR="007C2DF4" w:rsidRDefault="007C2DF4" w:rsidP="007C2DF4">
            <w:pPr>
              <w:spacing w:after="0"/>
            </w:pPr>
            <w:r>
              <w:rPr>
                <w:rFonts w:ascii="Calibri" w:hAnsi="Calibri" w:cs="Calibri"/>
                <w:color w:val="000000"/>
              </w:rPr>
              <w:t xml:space="preserve">Grant or research support-Cook Medical, </w:t>
            </w:r>
            <w:proofErr w:type="spellStart"/>
            <w:r>
              <w:rPr>
                <w:rFonts w:ascii="Calibri" w:hAnsi="Calibri" w:cs="Calibri"/>
                <w:color w:val="000000"/>
              </w:rPr>
              <w:t>Inc.|Speakers</w:t>
            </w:r>
            <w:proofErr w:type="spellEnd"/>
            <w:r>
              <w:rPr>
                <w:rFonts w:ascii="Calibri" w:hAnsi="Calibri" w:cs="Calibri"/>
                <w:color w:val="000000"/>
              </w:rPr>
              <w:t xml:space="preserve"> Bureau-Micro-Tech </w:t>
            </w:r>
            <w:proofErr w:type="spellStart"/>
            <w:r>
              <w:rPr>
                <w:rFonts w:ascii="Calibri" w:hAnsi="Calibri" w:cs="Calibri"/>
                <w:color w:val="000000"/>
              </w:rPr>
              <w:t>Endoscopy|Speakers</w:t>
            </w:r>
            <w:proofErr w:type="spellEnd"/>
            <w:r>
              <w:rPr>
                <w:rFonts w:ascii="Calibri" w:hAnsi="Calibri" w:cs="Calibri"/>
                <w:color w:val="000000"/>
              </w:rPr>
              <w:t xml:space="preserve"> Bureau-Cook Medical, </w:t>
            </w:r>
            <w:proofErr w:type="spellStart"/>
            <w:r>
              <w:rPr>
                <w:rFonts w:ascii="Calibri" w:hAnsi="Calibri" w:cs="Calibri"/>
                <w:color w:val="000000"/>
              </w:rPr>
              <w:t>Inc.|Paid</w:t>
            </w:r>
            <w:proofErr w:type="spellEnd"/>
            <w:r>
              <w:rPr>
                <w:rFonts w:ascii="Calibri" w:hAnsi="Calibri" w:cs="Calibri"/>
                <w:color w:val="000000"/>
              </w:rPr>
              <w:t xml:space="preserve"> </w:t>
            </w:r>
            <w:proofErr w:type="gramStart"/>
            <w:r>
              <w:rPr>
                <w:rFonts w:ascii="Calibri" w:hAnsi="Calibri" w:cs="Calibri"/>
                <w:color w:val="000000"/>
              </w:rPr>
              <w:t>consultant</w:t>
            </w:r>
            <w:proofErr w:type="gramEnd"/>
            <w:r>
              <w:rPr>
                <w:rFonts w:ascii="Calibri" w:hAnsi="Calibri" w:cs="Calibri"/>
                <w:color w:val="000000"/>
              </w:rPr>
              <w:t>-Applied Medical</w:t>
            </w:r>
          </w:p>
        </w:tc>
      </w:tr>
      <w:tr w:rsidR="007C2DF4" w14:paraId="5A7F5C50"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35DC8DD2" w14:textId="4C1716FA" w:rsidR="007C2DF4" w:rsidRDefault="007C2DF4" w:rsidP="007C2DF4">
            <w:pPr>
              <w:spacing w:after="0"/>
            </w:pPr>
            <w:r>
              <w:rPr>
                <w:rFonts w:ascii="Calibri" w:hAnsi="Calibri" w:cs="Calibri"/>
                <w:color w:val="000000"/>
              </w:rPr>
              <w:t xml:space="preserve">Farshid </w:t>
            </w:r>
            <w:proofErr w:type="spellStart"/>
            <w:r>
              <w:rPr>
                <w:rFonts w:ascii="Calibri" w:hAnsi="Calibri" w:cs="Calibri"/>
                <w:color w:val="000000"/>
              </w:rPr>
              <w:t>Dayyani</w:t>
            </w:r>
            <w:proofErr w:type="spellEnd"/>
            <w:r>
              <w:rPr>
                <w:rFonts w:ascii="Calibri" w:hAnsi="Calibri" w:cs="Calibri"/>
                <w:color w:val="000000"/>
              </w:rPr>
              <w:t>, MD, PhD</w:t>
            </w:r>
          </w:p>
        </w:tc>
        <w:tc>
          <w:tcPr>
            <w:tcW w:w="1280" w:type="pct"/>
            <w:tcBorders>
              <w:top w:val="outset" w:sz="6" w:space="0" w:color="auto"/>
              <w:left w:val="outset" w:sz="6" w:space="0" w:color="auto"/>
              <w:bottom w:val="outset" w:sz="6" w:space="0" w:color="auto"/>
              <w:right w:val="outset" w:sz="6" w:space="0" w:color="auto"/>
            </w:tcBorders>
          </w:tcPr>
          <w:p w14:paraId="69398A14" w14:textId="274C9F56" w:rsidR="007C2DF4" w:rsidRDefault="007C2DF4" w:rsidP="007C2DF4">
            <w:pPr>
              <w:spacing w:after="0"/>
            </w:pPr>
            <w:r>
              <w:rPr>
                <w:rFonts w:ascii="Calibri" w:hAnsi="Calibri" w:cs="Calibri"/>
                <w:color w:val="000000"/>
              </w:rPr>
              <w:t>Presenter, Panelist</w:t>
            </w:r>
          </w:p>
        </w:tc>
        <w:tc>
          <w:tcPr>
            <w:tcW w:w="2396" w:type="pct"/>
            <w:tcBorders>
              <w:top w:val="outset" w:sz="6" w:space="0" w:color="auto"/>
              <w:left w:val="outset" w:sz="6" w:space="0" w:color="auto"/>
              <w:bottom w:val="outset" w:sz="6" w:space="0" w:color="auto"/>
              <w:right w:val="outset" w:sz="6" w:space="0" w:color="auto"/>
            </w:tcBorders>
          </w:tcPr>
          <w:p w14:paraId="5F730478" w14:textId="50547635" w:rsidR="007C2DF4" w:rsidRDefault="007C2DF4" w:rsidP="007C2DF4">
            <w:pPr>
              <w:spacing w:after="0"/>
            </w:pPr>
            <w:r>
              <w:rPr>
                <w:rFonts w:ascii="Calibri" w:hAnsi="Calibri" w:cs="Calibri"/>
                <w:color w:val="000000"/>
              </w:rPr>
              <w:t xml:space="preserve">Consulting Fee-AstraZeneca (Any </w:t>
            </w:r>
            <w:proofErr w:type="gramStart"/>
            <w:r>
              <w:rPr>
                <w:rFonts w:ascii="Calibri" w:hAnsi="Calibri" w:cs="Calibri"/>
                <w:color w:val="000000"/>
              </w:rPr>
              <w:t>division)|</w:t>
            </w:r>
            <w:proofErr w:type="gramEnd"/>
            <w:r>
              <w:rPr>
                <w:rFonts w:ascii="Calibri" w:hAnsi="Calibri" w:cs="Calibri"/>
                <w:color w:val="000000"/>
              </w:rPr>
              <w:t xml:space="preserve">Consulting Fee-Eisai, Inc. (Relationship has ended)|Speakers Bureau-Astellas (Any division)|Speakers Bureau-Ipsen Biopharmaceuticals, </w:t>
            </w:r>
            <w:proofErr w:type="spellStart"/>
            <w:r>
              <w:rPr>
                <w:rFonts w:ascii="Calibri" w:hAnsi="Calibri" w:cs="Calibri"/>
                <w:color w:val="000000"/>
              </w:rPr>
              <w:t>Inc.|Speakers</w:t>
            </w:r>
            <w:proofErr w:type="spellEnd"/>
            <w:r>
              <w:rPr>
                <w:rFonts w:ascii="Calibri" w:hAnsi="Calibri" w:cs="Calibri"/>
                <w:color w:val="000000"/>
              </w:rPr>
              <w:t xml:space="preserve"> Bureau-Takeda Pharmaceuticals (Any division)</w:t>
            </w:r>
          </w:p>
        </w:tc>
      </w:tr>
      <w:tr w:rsidR="007C2DF4" w14:paraId="0C7EEC4F"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63055867" w14:textId="02FD438E" w:rsidR="007C2DF4" w:rsidRDefault="007C2DF4" w:rsidP="007C2DF4">
            <w:pPr>
              <w:spacing w:after="0"/>
            </w:pPr>
            <w:r>
              <w:rPr>
                <w:rFonts w:ascii="Calibri" w:hAnsi="Calibri" w:cs="Calibri"/>
                <w:color w:val="000000"/>
              </w:rPr>
              <w:t>Robert Fearn, MBChB</w:t>
            </w:r>
          </w:p>
        </w:tc>
        <w:tc>
          <w:tcPr>
            <w:tcW w:w="1280" w:type="pct"/>
            <w:tcBorders>
              <w:top w:val="outset" w:sz="6" w:space="0" w:color="auto"/>
              <w:left w:val="outset" w:sz="6" w:space="0" w:color="auto"/>
              <w:bottom w:val="outset" w:sz="6" w:space="0" w:color="auto"/>
              <w:right w:val="outset" w:sz="6" w:space="0" w:color="auto"/>
            </w:tcBorders>
          </w:tcPr>
          <w:p w14:paraId="5F1D6479" w14:textId="78FD0AE0" w:rsidR="007C2DF4" w:rsidRDefault="007C2DF4" w:rsidP="007C2DF4">
            <w:pPr>
              <w:spacing w:after="0"/>
            </w:pPr>
            <w:r>
              <w:rPr>
                <w:rFonts w:ascii="Calibri" w:hAnsi="Calibri" w:cs="Calibri"/>
                <w:color w:val="000000"/>
              </w:rPr>
              <w:t>Moderator</w:t>
            </w:r>
          </w:p>
        </w:tc>
        <w:tc>
          <w:tcPr>
            <w:tcW w:w="2396" w:type="pct"/>
            <w:tcBorders>
              <w:top w:val="outset" w:sz="6" w:space="0" w:color="auto"/>
              <w:left w:val="outset" w:sz="6" w:space="0" w:color="auto"/>
              <w:bottom w:val="outset" w:sz="6" w:space="0" w:color="auto"/>
              <w:right w:val="outset" w:sz="6" w:space="0" w:color="auto"/>
            </w:tcBorders>
          </w:tcPr>
          <w:p w14:paraId="05A455DE" w14:textId="000E31CF" w:rsidR="007C2DF4" w:rsidRDefault="007C2DF4" w:rsidP="007C2DF4">
            <w:pPr>
              <w:spacing w:after="0"/>
            </w:pPr>
            <w:r>
              <w:rPr>
                <w:rFonts w:ascii="Calibri" w:hAnsi="Calibri" w:cs="Calibri"/>
                <w:color w:val="000000"/>
              </w:rPr>
              <w:t xml:space="preserve">Advisor-Takeda Pharmaceuticals (Any </w:t>
            </w:r>
            <w:proofErr w:type="gramStart"/>
            <w:r>
              <w:rPr>
                <w:rFonts w:ascii="Calibri" w:hAnsi="Calibri" w:cs="Calibri"/>
                <w:color w:val="000000"/>
              </w:rPr>
              <w:t>division)|</w:t>
            </w:r>
            <w:proofErr w:type="gramEnd"/>
            <w:r>
              <w:rPr>
                <w:rFonts w:ascii="Calibri" w:hAnsi="Calibri" w:cs="Calibri"/>
                <w:color w:val="000000"/>
              </w:rPr>
              <w:t>Independent Contractor (included contracted research)-</w:t>
            </w:r>
            <w:proofErr w:type="spellStart"/>
            <w:r>
              <w:rPr>
                <w:rFonts w:ascii="Calibri" w:hAnsi="Calibri" w:cs="Calibri"/>
                <w:color w:val="000000"/>
              </w:rPr>
              <w:t>Motilent</w:t>
            </w:r>
            <w:proofErr w:type="spellEnd"/>
          </w:p>
        </w:tc>
      </w:tr>
      <w:tr w:rsidR="007C2DF4" w14:paraId="3219B028"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7C3C5130" w14:textId="0A459F90" w:rsidR="007C2DF4" w:rsidRDefault="007C2DF4" w:rsidP="007C2DF4">
            <w:pPr>
              <w:spacing w:after="0"/>
            </w:pPr>
            <w:r>
              <w:rPr>
                <w:rFonts w:ascii="Calibri" w:hAnsi="Calibri" w:cs="Calibri"/>
                <w:color w:val="000000"/>
              </w:rPr>
              <w:lastRenderedPageBreak/>
              <w:t>Phillip Gu, MD</w:t>
            </w:r>
          </w:p>
        </w:tc>
        <w:tc>
          <w:tcPr>
            <w:tcW w:w="1280" w:type="pct"/>
            <w:tcBorders>
              <w:top w:val="outset" w:sz="6" w:space="0" w:color="auto"/>
              <w:left w:val="outset" w:sz="6" w:space="0" w:color="auto"/>
              <w:bottom w:val="outset" w:sz="6" w:space="0" w:color="auto"/>
              <w:right w:val="outset" w:sz="6" w:space="0" w:color="auto"/>
            </w:tcBorders>
          </w:tcPr>
          <w:p w14:paraId="31038B03" w14:textId="23474F4D" w:rsidR="007C2DF4" w:rsidRDefault="007C2DF4" w:rsidP="007C2DF4">
            <w:pPr>
              <w:spacing w:after="0"/>
            </w:pPr>
            <w:r>
              <w:rPr>
                <w:rFonts w:ascii="Calibri" w:hAnsi="Calibri" w:cs="Calibri"/>
                <w:color w:val="000000"/>
              </w:rPr>
              <w:t>Presenter</w:t>
            </w:r>
          </w:p>
        </w:tc>
        <w:tc>
          <w:tcPr>
            <w:tcW w:w="2396" w:type="pct"/>
            <w:tcBorders>
              <w:top w:val="outset" w:sz="6" w:space="0" w:color="auto"/>
              <w:left w:val="outset" w:sz="6" w:space="0" w:color="auto"/>
              <w:bottom w:val="outset" w:sz="6" w:space="0" w:color="auto"/>
              <w:right w:val="outset" w:sz="6" w:space="0" w:color="auto"/>
            </w:tcBorders>
          </w:tcPr>
          <w:p w14:paraId="6FF8AD35" w14:textId="57F65EAB" w:rsidR="007C2DF4" w:rsidRDefault="007C2DF4" w:rsidP="007C2DF4">
            <w:pPr>
              <w:spacing w:after="0"/>
            </w:pPr>
            <w:r>
              <w:rPr>
                <w:rFonts w:ascii="Calibri" w:hAnsi="Calibri" w:cs="Calibri"/>
                <w:color w:val="000000"/>
              </w:rPr>
              <w:t>Nothing to disclose</w:t>
            </w:r>
          </w:p>
        </w:tc>
      </w:tr>
      <w:tr w:rsidR="007C2DF4" w14:paraId="527060B3"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1E87C992" w14:textId="46646D1C" w:rsidR="007C2DF4" w:rsidRDefault="007C2DF4" w:rsidP="007C2DF4">
            <w:pPr>
              <w:spacing w:after="0"/>
            </w:pPr>
            <w:r>
              <w:rPr>
                <w:rFonts w:ascii="Calibri" w:hAnsi="Calibri" w:cs="Calibri"/>
                <w:color w:val="000000"/>
              </w:rPr>
              <w:t>John Hong, MD</w:t>
            </w:r>
          </w:p>
        </w:tc>
        <w:tc>
          <w:tcPr>
            <w:tcW w:w="1280" w:type="pct"/>
            <w:tcBorders>
              <w:top w:val="outset" w:sz="6" w:space="0" w:color="auto"/>
              <w:left w:val="outset" w:sz="6" w:space="0" w:color="auto"/>
              <w:bottom w:val="outset" w:sz="6" w:space="0" w:color="auto"/>
              <w:right w:val="outset" w:sz="6" w:space="0" w:color="auto"/>
            </w:tcBorders>
          </w:tcPr>
          <w:p w14:paraId="5A4CB41D" w14:textId="31C133A3" w:rsidR="007C2DF4" w:rsidRDefault="007C2DF4" w:rsidP="007C2DF4">
            <w:pPr>
              <w:spacing w:after="0"/>
            </w:pPr>
            <w:r>
              <w:rPr>
                <w:rFonts w:ascii="Calibri" w:hAnsi="Calibri" w:cs="Calibri"/>
                <w:color w:val="000000"/>
              </w:rPr>
              <w:t>Presenter</w:t>
            </w:r>
          </w:p>
        </w:tc>
        <w:tc>
          <w:tcPr>
            <w:tcW w:w="2396" w:type="pct"/>
            <w:tcBorders>
              <w:top w:val="outset" w:sz="6" w:space="0" w:color="auto"/>
              <w:left w:val="outset" w:sz="6" w:space="0" w:color="auto"/>
              <w:bottom w:val="outset" w:sz="6" w:space="0" w:color="auto"/>
              <w:right w:val="outset" w:sz="6" w:space="0" w:color="auto"/>
            </w:tcBorders>
          </w:tcPr>
          <w:p w14:paraId="4BA6A0B7" w14:textId="3F596DD2" w:rsidR="007C2DF4" w:rsidRDefault="007C2DF4" w:rsidP="007C2DF4">
            <w:pPr>
              <w:spacing w:after="0"/>
            </w:pPr>
            <w:r>
              <w:rPr>
                <w:rFonts w:ascii="Calibri" w:hAnsi="Calibri" w:cs="Calibri"/>
                <w:color w:val="000000"/>
              </w:rPr>
              <w:t>Nothing to disclose</w:t>
            </w:r>
          </w:p>
        </w:tc>
      </w:tr>
      <w:tr w:rsidR="007C2DF4" w14:paraId="5963BCF8"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3C3A9329" w14:textId="23188D65" w:rsidR="007C2DF4" w:rsidRDefault="007C2DF4" w:rsidP="007C2DF4">
            <w:pPr>
              <w:spacing w:after="0"/>
            </w:pPr>
            <w:r>
              <w:rPr>
                <w:rFonts w:ascii="Calibri" w:hAnsi="Calibri" w:cs="Calibri"/>
                <w:color w:val="000000"/>
              </w:rPr>
              <w:t>Ke-Qin Hu, MD</w:t>
            </w:r>
          </w:p>
        </w:tc>
        <w:tc>
          <w:tcPr>
            <w:tcW w:w="1280" w:type="pct"/>
            <w:tcBorders>
              <w:top w:val="outset" w:sz="6" w:space="0" w:color="auto"/>
              <w:left w:val="outset" w:sz="6" w:space="0" w:color="auto"/>
              <w:bottom w:val="outset" w:sz="6" w:space="0" w:color="auto"/>
              <w:right w:val="outset" w:sz="6" w:space="0" w:color="auto"/>
            </w:tcBorders>
          </w:tcPr>
          <w:p w14:paraId="2E2C6775" w14:textId="7C869A69" w:rsidR="007C2DF4" w:rsidRDefault="007C2DF4" w:rsidP="007C2DF4">
            <w:pPr>
              <w:spacing w:after="0"/>
            </w:pPr>
            <w:r>
              <w:rPr>
                <w:rFonts w:ascii="Calibri" w:hAnsi="Calibri" w:cs="Calibri"/>
                <w:color w:val="000000"/>
              </w:rPr>
              <w:t>Panelist</w:t>
            </w:r>
          </w:p>
        </w:tc>
        <w:tc>
          <w:tcPr>
            <w:tcW w:w="2396" w:type="pct"/>
            <w:tcBorders>
              <w:top w:val="outset" w:sz="6" w:space="0" w:color="auto"/>
              <w:left w:val="outset" w:sz="6" w:space="0" w:color="auto"/>
              <w:bottom w:val="outset" w:sz="6" w:space="0" w:color="auto"/>
              <w:right w:val="outset" w:sz="6" w:space="0" w:color="auto"/>
            </w:tcBorders>
          </w:tcPr>
          <w:p w14:paraId="7889CBFE" w14:textId="45490D44" w:rsidR="007C2DF4" w:rsidRDefault="007C2DF4" w:rsidP="007C2DF4">
            <w:pPr>
              <w:spacing w:after="0"/>
            </w:pPr>
            <w:r>
              <w:rPr>
                <w:rFonts w:ascii="Calibri" w:hAnsi="Calibri" w:cs="Calibri"/>
                <w:color w:val="000000"/>
              </w:rPr>
              <w:t xml:space="preserve">Speakers Bureau-Gilead Sciences, </w:t>
            </w:r>
            <w:proofErr w:type="spellStart"/>
            <w:r>
              <w:rPr>
                <w:rFonts w:ascii="Calibri" w:hAnsi="Calibri" w:cs="Calibri"/>
                <w:color w:val="000000"/>
              </w:rPr>
              <w:t>Inc.|Speakers</w:t>
            </w:r>
            <w:proofErr w:type="spellEnd"/>
            <w:r>
              <w:rPr>
                <w:rFonts w:ascii="Calibri" w:hAnsi="Calibri" w:cs="Calibri"/>
                <w:color w:val="000000"/>
              </w:rPr>
              <w:t xml:space="preserve"> </w:t>
            </w:r>
            <w:proofErr w:type="spellStart"/>
            <w:r>
              <w:rPr>
                <w:rFonts w:ascii="Calibri" w:hAnsi="Calibri" w:cs="Calibri"/>
                <w:color w:val="000000"/>
              </w:rPr>
              <w:t>Bureau-Medrigal|Speakers</w:t>
            </w:r>
            <w:proofErr w:type="spellEnd"/>
            <w:r>
              <w:rPr>
                <w:rFonts w:ascii="Calibri" w:hAnsi="Calibri" w:cs="Calibri"/>
                <w:color w:val="000000"/>
              </w:rPr>
              <w:t xml:space="preserve"> Bureau-Intercept</w:t>
            </w:r>
          </w:p>
        </w:tc>
      </w:tr>
      <w:tr w:rsidR="007C2DF4" w14:paraId="7A5AFB3B"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62554CEF" w14:textId="671E4F96" w:rsidR="007C2DF4" w:rsidRDefault="007C2DF4" w:rsidP="007C2DF4">
            <w:pPr>
              <w:spacing w:after="0"/>
            </w:pPr>
            <w:r>
              <w:rPr>
                <w:rFonts w:ascii="Calibri" w:hAnsi="Calibri" w:cs="Calibri"/>
                <w:color w:val="000000"/>
              </w:rPr>
              <w:t>David Imagawa, MD</w:t>
            </w:r>
          </w:p>
        </w:tc>
        <w:tc>
          <w:tcPr>
            <w:tcW w:w="1280" w:type="pct"/>
            <w:tcBorders>
              <w:top w:val="outset" w:sz="6" w:space="0" w:color="auto"/>
              <w:left w:val="outset" w:sz="6" w:space="0" w:color="auto"/>
              <w:bottom w:val="outset" w:sz="6" w:space="0" w:color="auto"/>
              <w:right w:val="outset" w:sz="6" w:space="0" w:color="auto"/>
            </w:tcBorders>
          </w:tcPr>
          <w:p w14:paraId="7D755AAA" w14:textId="1E97280A" w:rsidR="007C2DF4" w:rsidRDefault="007C2DF4" w:rsidP="007C2DF4">
            <w:pPr>
              <w:spacing w:after="0"/>
            </w:pPr>
            <w:r>
              <w:rPr>
                <w:rFonts w:ascii="Calibri" w:hAnsi="Calibri" w:cs="Calibri"/>
                <w:color w:val="000000"/>
              </w:rPr>
              <w:t>Moderator, Presenter, Panelist</w:t>
            </w:r>
          </w:p>
        </w:tc>
        <w:tc>
          <w:tcPr>
            <w:tcW w:w="2396" w:type="pct"/>
            <w:tcBorders>
              <w:top w:val="outset" w:sz="6" w:space="0" w:color="auto"/>
              <w:left w:val="outset" w:sz="6" w:space="0" w:color="auto"/>
              <w:bottom w:val="outset" w:sz="6" w:space="0" w:color="auto"/>
              <w:right w:val="outset" w:sz="6" w:space="0" w:color="auto"/>
            </w:tcBorders>
          </w:tcPr>
          <w:p w14:paraId="1A2436E7" w14:textId="648C81DD" w:rsidR="007C2DF4" w:rsidRDefault="007C2DF4" w:rsidP="007C2DF4">
            <w:pPr>
              <w:spacing w:after="0"/>
            </w:pPr>
            <w:r>
              <w:rPr>
                <w:rFonts w:ascii="Calibri" w:hAnsi="Calibri" w:cs="Calibri"/>
                <w:color w:val="000000"/>
              </w:rPr>
              <w:t>Membership on Advisory Committees or Review Panels, Board Membership, etc.-Genentech (Any division) (Relationship has ended)|Membership on Advisory Committees or Review Panels, Board Membership, etc.-Dillon Pharmaceutical |Independent Contractor (included contracted research)-Eisai, Inc. (Relationship has ended)|Independent Contractor (included contracted research)-</w:t>
            </w:r>
            <w:proofErr w:type="spellStart"/>
            <w:r>
              <w:rPr>
                <w:rFonts w:ascii="Calibri" w:hAnsi="Calibri" w:cs="Calibri"/>
                <w:color w:val="000000"/>
              </w:rPr>
              <w:t>Beigene</w:t>
            </w:r>
            <w:proofErr w:type="spellEnd"/>
            <w:r>
              <w:rPr>
                <w:rFonts w:ascii="Calibri" w:hAnsi="Calibri" w:cs="Calibri"/>
                <w:color w:val="000000"/>
              </w:rPr>
              <w:t xml:space="preserve"> (Relationship has ended)|Membership on Advisory Committees or Review Panels, Board Membership, etc.-BD (Relationship has ended)|Independent Contractor (included contracted research)-Merck (Any division) (Relationship has ended)</w:t>
            </w:r>
          </w:p>
        </w:tc>
      </w:tr>
      <w:tr w:rsidR="007C2DF4" w14:paraId="49484F75"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0F64F2EF" w14:textId="3DA995B0" w:rsidR="007C2DF4" w:rsidRDefault="007C2DF4" w:rsidP="007C2DF4">
            <w:pPr>
              <w:spacing w:after="0"/>
            </w:pPr>
            <w:r>
              <w:rPr>
                <w:rFonts w:ascii="Calibri" w:hAnsi="Calibri" w:cs="Calibri"/>
                <w:color w:val="000000"/>
              </w:rPr>
              <w:t>Cyrus Jahansouz, MD</w:t>
            </w:r>
          </w:p>
        </w:tc>
        <w:tc>
          <w:tcPr>
            <w:tcW w:w="1280" w:type="pct"/>
            <w:tcBorders>
              <w:top w:val="outset" w:sz="6" w:space="0" w:color="auto"/>
              <w:left w:val="outset" w:sz="6" w:space="0" w:color="auto"/>
              <w:bottom w:val="outset" w:sz="6" w:space="0" w:color="auto"/>
              <w:right w:val="outset" w:sz="6" w:space="0" w:color="auto"/>
            </w:tcBorders>
          </w:tcPr>
          <w:p w14:paraId="2EC86EE7" w14:textId="1482C4E6" w:rsidR="007C2DF4" w:rsidRDefault="007C2DF4" w:rsidP="007C2DF4">
            <w:pPr>
              <w:spacing w:after="0"/>
            </w:pPr>
            <w:r>
              <w:rPr>
                <w:rFonts w:ascii="Calibri" w:hAnsi="Calibri" w:cs="Calibri"/>
                <w:color w:val="000000"/>
              </w:rPr>
              <w:t>Presenter</w:t>
            </w:r>
          </w:p>
        </w:tc>
        <w:tc>
          <w:tcPr>
            <w:tcW w:w="2396" w:type="pct"/>
            <w:tcBorders>
              <w:top w:val="outset" w:sz="6" w:space="0" w:color="auto"/>
              <w:left w:val="outset" w:sz="6" w:space="0" w:color="auto"/>
              <w:bottom w:val="outset" w:sz="6" w:space="0" w:color="auto"/>
              <w:right w:val="outset" w:sz="6" w:space="0" w:color="auto"/>
            </w:tcBorders>
          </w:tcPr>
          <w:p w14:paraId="5A53509C" w14:textId="5BD8D440" w:rsidR="007C2DF4" w:rsidRDefault="007C2DF4" w:rsidP="007C2DF4">
            <w:pPr>
              <w:spacing w:after="0"/>
            </w:pPr>
            <w:r>
              <w:rPr>
                <w:rFonts w:ascii="Calibri" w:hAnsi="Calibri" w:cs="Calibri"/>
                <w:color w:val="000000"/>
              </w:rPr>
              <w:t>Nothing to disclose</w:t>
            </w:r>
          </w:p>
        </w:tc>
      </w:tr>
      <w:tr w:rsidR="007C2DF4" w14:paraId="19AE3EE0"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761D0CB9" w14:textId="27B6A2E3" w:rsidR="007C2DF4" w:rsidRDefault="007C2DF4" w:rsidP="007C2DF4">
            <w:pPr>
              <w:spacing w:after="0"/>
            </w:pPr>
            <w:r>
              <w:rPr>
                <w:rFonts w:ascii="Calibri" w:hAnsi="Calibri" w:cs="Calibri"/>
                <w:color w:val="000000"/>
              </w:rPr>
              <w:t>Laurie Johnson, MHA</w:t>
            </w:r>
          </w:p>
        </w:tc>
        <w:tc>
          <w:tcPr>
            <w:tcW w:w="1280" w:type="pct"/>
            <w:tcBorders>
              <w:top w:val="outset" w:sz="6" w:space="0" w:color="auto"/>
              <w:left w:val="outset" w:sz="6" w:space="0" w:color="auto"/>
              <w:bottom w:val="outset" w:sz="6" w:space="0" w:color="auto"/>
              <w:right w:val="outset" w:sz="6" w:space="0" w:color="auto"/>
            </w:tcBorders>
          </w:tcPr>
          <w:p w14:paraId="537E1183" w14:textId="4FF03294" w:rsidR="007C2DF4" w:rsidRDefault="007C2DF4" w:rsidP="007C2DF4">
            <w:pPr>
              <w:spacing w:after="0"/>
            </w:pPr>
            <w:r>
              <w:rPr>
                <w:rFonts w:ascii="Calibri" w:hAnsi="Calibri" w:cs="Calibri"/>
                <w:color w:val="000000"/>
              </w:rPr>
              <w:t>Panelist</w:t>
            </w:r>
          </w:p>
        </w:tc>
        <w:tc>
          <w:tcPr>
            <w:tcW w:w="2396" w:type="pct"/>
            <w:tcBorders>
              <w:top w:val="outset" w:sz="6" w:space="0" w:color="auto"/>
              <w:left w:val="outset" w:sz="6" w:space="0" w:color="auto"/>
              <w:bottom w:val="outset" w:sz="6" w:space="0" w:color="auto"/>
              <w:right w:val="outset" w:sz="6" w:space="0" w:color="auto"/>
            </w:tcBorders>
          </w:tcPr>
          <w:p w14:paraId="2672B59E" w14:textId="12B33E9A" w:rsidR="007C2DF4" w:rsidRDefault="007C2DF4" w:rsidP="007C2DF4">
            <w:pPr>
              <w:spacing w:after="0"/>
            </w:pPr>
            <w:r>
              <w:rPr>
                <w:rFonts w:ascii="Calibri" w:hAnsi="Calibri" w:cs="Calibri"/>
                <w:color w:val="000000"/>
              </w:rPr>
              <w:t>Nothing to disclose</w:t>
            </w:r>
          </w:p>
        </w:tc>
      </w:tr>
      <w:tr w:rsidR="007C2DF4" w14:paraId="5844AA5F"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4CAECDFF" w14:textId="0C9534FF" w:rsidR="007C2DF4" w:rsidRDefault="007C2DF4" w:rsidP="007C2DF4">
            <w:pPr>
              <w:spacing w:after="0"/>
            </w:pPr>
            <w:r>
              <w:rPr>
                <w:rFonts w:ascii="Calibri" w:hAnsi="Calibri" w:cs="Calibri"/>
                <w:color w:val="000000"/>
              </w:rPr>
              <w:t>Zeljka Jutric, MD</w:t>
            </w:r>
          </w:p>
        </w:tc>
        <w:tc>
          <w:tcPr>
            <w:tcW w:w="1280" w:type="pct"/>
            <w:tcBorders>
              <w:top w:val="outset" w:sz="6" w:space="0" w:color="auto"/>
              <w:left w:val="outset" w:sz="6" w:space="0" w:color="auto"/>
              <w:bottom w:val="outset" w:sz="6" w:space="0" w:color="auto"/>
              <w:right w:val="outset" w:sz="6" w:space="0" w:color="auto"/>
            </w:tcBorders>
          </w:tcPr>
          <w:p w14:paraId="6921996F" w14:textId="5F4C11EA" w:rsidR="007C2DF4" w:rsidRDefault="007C2DF4" w:rsidP="007C2DF4">
            <w:pPr>
              <w:spacing w:after="0"/>
            </w:pPr>
            <w:r>
              <w:rPr>
                <w:rFonts w:ascii="Calibri" w:hAnsi="Calibri" w:cs="Calibri"/>
                <w:color w:val="000000"/>
              </w:rPr>
              <w:t>Moderator, Panelist</w:t>
            </w:r>
          </w:p>
        </w:tc>
        <w:tc>
          <w:tcPr>
            <w:tcW w:w="2396" w:type="pct"/>
            <w:tcBorders>
              <w:top w:val="outset" w:sz="6" w:space="0" w:color="auto"/>
              <w:left w:val="outset" w:sz="6" w:space="0" w:color="auto"/>
              <w:bottom w:val="outset" w:sz="6" w:space="0" w:color="auto"/>
              <w:right w:val="outset" w:sz="6" w:space="0" w:color="auto"/>
            </w:tcBorders>
          </w:tcPr>
          <w:p w14:paraId="49082372" w14:textId="459CEEB7" w:rsidR="007C2DF4" w:rsidRDefault="007C2DF4" w:rsidP="007C2DF4">
            <w:pPr>
              <w:spacing w:after="0"/>
            </w:pPr>
            <w:r>
              <w:rPr>
                <w:rFonts w:ascii="Calibri" w:hAnsi="Calibri" w:cs="Calibri"/>
                <w:color w:val="000000"/>
              </w:rPr>
              <w:t>Nothing to disclose</w:t>
            </w:r>
          </w:p>
        </w:tc>
      </w:tr>
      <w:tr w:rsidR="007C2DF4" w14:paraId="3C72760F"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5D48F62C" w14:textId="09928163" w:rsidR="007C2DF4" w:rsidRDefault="007C2DF4" w:rsidP="007C2DF4">
            <w:pPr>
              <w:spacing w:after="0"/>
            </w:pPr>
            <w:r>
              <w:rPr>
                <w:rFonts w:ascii="Calibri" w:hAnsi="Calibri" w:cs="Calibri"/>
                <w:color w:val="000000"/>
              </w:rPr>
              <w:t>William Karnes, MD</w:t>
            </w:r>
          </w:p>
        </w:tc>
        <w:tc>
          <w:tcPr>
            <w:tcW w:w="1280" w:type="pct"/>
            <w:tcBorders>
              <w:top w:val="outset" w:sz="6" w:space="0" w:color="auto"/>
              <w:left w:val="outset" w:sz="6" w:space="0" w:color="auto"/>
              <w:bottom w:val="outset" w:sz="6" w:space="0" w:color="auto"/>
              <w:right w:val="outset" w:sz="6" w:space="0" w:color="auto"/>
            </w:tcBorders>
          </w:tcPr>
          <w:p w14:paraId="5318D2E5" w14:textId="765FB2BB" w:rsidR="007C2DF4" w:rsidRDefault="007C2DF4" w:rsidP="007C2DF4">
            <w:pPr>
              <w:spacing w:after="0"/>
            </w:pPr>
            <w:r>
              <w:rPr>
                <w:rFonts w:ascii="Calibri" w:hAnsi="Calibri" w:cs="Calibri"/>
                <w:color w:val="000000"/>
              </w:rPr>
              <w:t>Presenter, Panelist</w:t>
            </w:r>
          </w:p>
        </w:tc>
        <w:tc>
          <w:tcPr>
            <w:tcW w:w="2396" w:type="pct"/>
            <w:tcBorders>
              <w:top w:val="outset" w:sz="6" w:space="0" w:color="auto"/>
              <w:left w:val="outset" w:sz="6" w:space="0" w:color="auto"/>
              <w:bottom w:val="outset" w:sz="6" w:space="0" w:color="auto"/>
              <w:right w:val="outset" w:sz="6" w:space="0" w:color="auto"/>
            </w:tcBorders>
          </w:tcPr>
          <w:p w14:paraId="7A5F7E05" w14:textId="717ECDAB" w:rsidR="007C2DF4" w:rsidRDefault="007C2DF4" w:rsidP="007C2DF4">
            <w:pPr>
              <w:spacing w:after="0"/>
            </w:pPr>
            <w:r>
              <w:rPr>
                <w:rFonts w:ascii="Calibri" w:hAnsi="Calibri" w:cs="Calibri"/>
                <w:color w:val="000000"/>
              </w:rPr>
              <w:t>Nothing to disclose</w:t>
            </w:r>
          </w:p>
        </w:tc>
      </w:tr>
      <w:tr w:rsidR="007C2DF4" w14:paraId="4BA52A97"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0E27FB30" w14:textId="5FE08173" w:rsidR="007C2DF4" w:rsidRDefault="007C2DF4" w:rsidP="007C2DF4">
            <w:pPr>
              <w:spacing w:after="0"/>
            </w:pPr>
            <w:r>
              <w:rPr>
                <w:rFonts w:ascii="Calibri" w:hAnsi="Calibri" w:cs="Calibri"/>
                <w:color w:val="000000"/>
              </w:rPr>
              <w:t>JAEHYUN KIM, MD</w:t>
            </w:r>
          </w:p>
        </w:tc>
        <w:tc>
          <w:tcPr>
            <w:tcW w:w="1280" w:type="pct"/>
            <w:tcBorders>
              <w:top w:val="outset" w:sz="6" w:space="0" w:color="auto"/>
              <w:left w:val="outset" w:sz="6" w:space="0" w:color="auto"/>
              <w:bottom w:val="outset" w:sz="6" w:space="0" w:color="auto"/>
              <w:right w:val="outset" w:sz="6" w:space="0" w:color="auto"/>
            </w:tcBorders>
          </w:tcPr>
          <w:p w14:paraId="2EDC1CD5" w14:textId="04B37CCA" w:rsidR="007C2DF4" w:rsidRDefault="007C2DF4" w:rsidP="007C2DF4">
            <w:pPr>
              <w:spacing w:after="0"/>
            </w:pPr>
            <w:r>
              <w:rPr>
                <w:rFonts w:ascii="Calibri" w:hAnsi="Calibri" w:cs="Calibri"/>
                <w:color w:val="000000"/>
              </w:rPr>
              <w:t>Moderator, Panelist, Presenter,</w:t>
            </w:r>
          </w:p>
        </w:tc>
        <w:tc>
          <w:tcPr>
            <w:tcW w:w="2396" w:type="pct"/>
            <w:tcBorders>
              <w:top w:val="outset" w:sz="6" w:space="0" w:color="auto"/>
              <w:left w:val="outset" w:sz="6" w:space="0" w:color="auto"/>
              <w:bottom w:val="outset" w:sz="6" w:space="0" w:color="auto"/>
              <w:right w:val="outset" w:sz="6" w:space="0" w:color="auto"/>
            </w:tcBorders>
          </w:tcPr>
          <w:p w14:paraId="4D4ADA4A" w14:textId="2B1DDE2A" w:rsidR="007C2DF4" w:rsidRDefault="007C2DF4" w:rsidP="007C2DF4">
            <w:pPr>
              <w:spacing w:after="0"/>
            </w:pPr>
            <w:r>
              <w:rPr>
                <w:rFonts w:ascii="Calibri" w:hAnsi="Calibri" w:cs="Calibri"/>
                <w:color w:val="000000"/>
              </w:rPr>
              <w:t>Nothing to disclose</w:t>
            </w:r>
          </w:p>
        </w:tc>
      </w:tr>
      <w:tr w:rsidR="007C2DF4" w14:paraId="16B66C7B"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1A5FB74D" w14:textId="4CFFA7C0" w:rsidR="007C2DF4" w:rsidRDefault="007C2DF4" w:rsidP="007C2DF4">
            <w:pPr>
              <w:spacing w:after="0"/>
            </w:pPr>
            <w:r>
              <w:rPr>
                <w:rFonts w:ascii="Calibri" w:hAnsi="Calibri" w:cs="Calibri"/>
                <w:color w:val="000000"/>
              </w:rPr>
              <w:t>John Lee, MD</w:t>
            </w:r>
          </w:p>
        </w:tc>
        <w:tc>
          <w:tcPr>
            <w:tcW w:w="1280" w:type="pct"/>
            <w:tcBorders>
              <w:top w:val="outset" w:sz="6" w:space="0" w:color="auto"/>
              <w:left w:val="outset" w:sz="6" w:space="0" w:color="auto"/>
              <w:bottom w:val="outset" w:sz="6" w:space="0" w:color="auto"/>
              <w:right w:val="outset" w:sz="6" w:space="0" w:color="auto"/>
            </w:tcBorders>
          </w:tcPr>
          <w:p w14:paraId="6507D3A5" w14:textId="75C4134A" w:rsidR="007C2DF4" w:rsidRDefault="007C2DF4" w:rsidP="007C2DF4">
            <w:pPr>
              <w:spacing w:after="0"/>
            </w:pPr>
            <w:r>
              <w:rPr>
                <w:rFonts w:ascii="Calibri" w:hAnsi="Calibri" w:cs="Calibri"/>
                <w:color w:val="000000"/>
              </w:rPr>
              <w:t>Presenter, Panelist</w:t>
            </w:r>
          </w:p>
        </w:tc>
        <w:tc>
          <w:tcPr>
            <w:tcW w:w="2396" w:type="pct"/>
            <w:tcBorders>
              <w:top w:val="outset" w:sz="6" w:space="0" w:color="auto"/>
              <w:left w:val="outset" w:sz="6" w:space="0" w:color="auto"/>
              <w:bottom w:val="outset" w:sz="6" w:space="0" w:color="auto"/>
              <w:right w:val="outset" w:sz="6" w:space="0" w:color="auto"/>
            </w:tcBorders>
          </w:tcPr>
          <w:p w14:paraId="784F5680" w14:textId="68A52CCF" w:rsidR="007C2DF4" w:rsidRDefault="007C2DF4" w:rsidP="007C2DF4">
            <w:pPr>
              <w:spacing w:after="0"/>
            </w:pPr>
            <w:r>
              <w:rPr>
                <w:rFonts w:ascii="Calibri" w:hAnsi="Calibri" w:cs="Calibri"/>
                <w:color w:val="000000"/>
              </w:rPr>
              <w:t>Nothing to disclose</w:t>
            </w:r>
          </w:p>
        </w:tc>
      </w:tr>
      <w:tr w:rsidR="007C2DF4" w14:paraId="4DA2B349"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6F6C6773" w14:textId="6E99C567" w:rsidR="007C2DF4" w:rsidRDefault="007C2DF4" w:rsidP="007C2DF4">
            <w:pPr>
              <w:spacing w:after="0"/>
            </w:pPr>
            <w:r>
              <w:rPr>
                <w:rFonts w:ascii="Calibri" w:hAnsi="Calibri" w:cs="Calibri"/>
                <w:color w:val="000000"/>
              </w:rPr>
              <w:t>Steven Mills, MD</w:t>
            </w:r>
          </w:p>
        </w:tc>
        <w:tc>
          <w:tcPr>
            <w:tcW w:w="1280" w:type="pct"/>
            <w:tcBorders>
              <w:top w:val="outset" w:sz="6" w:space="0" w:color="auto"/>
              <w:left w:val="outset" w:sz="6" w:space="0" w:color="auto"/>
              <w:bottom w:val="outset" w:sz="6" w:space="0" w:color="auto"/>
              <w:right w:val="outset" w:sz="6" w:space="0" w:color="auto"/>
            </w:tcBorders>
          </w:tcPr>
          <w:p w14:paraId="2CC98C88" w14:textId="03147D0D" w:rsidR="007C2DF4" w:rsidRDefault="007C2DF4" w:rsidP="007C2DF4">
            <w:pPr>
              <w:spacing w:after="0"/>
            </w:pPr>
            <w:r>
              <w:rPr>
                <w:rFonts w:ascii="Calibri" w:hAnsi="Calibri" w:cs="Calibri"/>
                <w:color w:val="000000"/>
              </w:rPr>
              <w:t>Presenter</w:t>
            </w:r>
          </w:p>
        </w:tc>
        <w:tc>
          <w:tcPr>
            <w:tcW w:w="2396" w:type="pct"/>
            <w:tcBorders>
              <w:top w:val="outset" w:sz="6" w:space="0" w:color="auto"/>
              <w:left w:val="outset" w:sz="6" w:space="0" w:color="auto"/>
              <w:bottom w:val="outset" w:sz="6" w:space="0" w:color="auto"/>
              <w:right w:val="outset" w:sz="6" w:space="0" w:color="auto"/>
            </w:tcBorders>
          </w:tcPr>
          <w:p w14:paraId="4B210AA8" w14:textId="68CEDBB1" w:rsidR="007C2DF4" w:rsidRDefault="007C2DF4" w:rsidP="007C2DF4">
            <w:pPr>
              <w:spacing w:after="0"/>
            </w:pPr>
            <w:r>
              <w:rPr>
                <w:rFonts w:ascii="Calibri" w:hAnsi="Calibri" w:cs="Calibri"/>
                <w:color w:val="000000"/>
              </w:rPr>
              <w:t>Nothing to disclose</w:t>
            </w:r>
          </w:p>
        </w:tc>
      </w:tr>
      <w:tr w:rsidR="007C2DF4" w14:paraId="00C6D60D"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75C4D2B4" w14:textId="3D2E0AE6" w:rsidR="007C2DF4" w:rsidRDefault="007C2DF4" w:rsidP="007C2DF4">
            <w:pPr>
              <w:spacing w:after="0"/>
            </w:pPr>
            <w:r>
              <w:rPr>
                <w:rFonts w:ascii="Calibri" w:hAnsi="Calibri" w:cs="Calibri"/>
                <w:color w:val="000000"/>
              </w:rPr>
              <w:t>Sonia Narang, MA</w:t>
            </w:r>
          </w:p>
        </w:tc>
        <w:tc>
          <w:tcPr>
            <w:tcW w:w="1280" w:type="pct"/>
            <w:tcBorders>
              <w:top w:val="outset" w:sz="6" w:space="0" w:color="auto"/>
              <w:left w:val="outset" w:sz="6" w:space="0" w:color="auto"/>
              <w:bottom w:val="outset" w:sz="6" w:space="0" w:color="auto"/>
              <w:right w:val="outset" w:sz="6" w:space="0" w:color="auto"/>
            </w:tcBorders>
          </w:tcPr>
          <w:p w14:paraId="1AD445C5" w14:textId="7C9849D8" w:rsidR="007C2DF4" w:rsidRDefault="007C2DF4" w:rsidP="007C2DF4">
            <w:pPr>
              <w:spacing w:after="0"/>
            </w:pPr>
            <w:r>
              <w:rPr>
                <w:rFonts w:ascii="Calibri" w:hAnsi="Calibri" w:cs="Calibri"/>
                <w:color w:val="000000"/>
              </w:rPr>
              <w:t>Presenter, Panelist</w:t>
            </w:r>
          </w:p>
        </w:tc>
        <w:tc>
          <w:tcPr>
            <w:tcW w:w="2396" w:type="pct"/>
            <w:tcBorders>
              <w:top w:val="outset" w:sz="6" w:space="0" w:color="auto"/>
              <w:left w:val="outset" w:sz="6" w:space="0" w:color="auto"/>
              <w:bottom w:val="outset" w:sz="6" w:space="0" w:color="auto"/>
              <w:right w:val="outset" w:sz="6" w:space="0" w:color="auto"/>
            </w:tcBorders>
          </w:tcPr>
          <w:p w14:paraId="5C854C24" w14:textId="6F28CDEF" w:rsidR="007C2DF4" w:rsidRDefault="007C2DF4" w:rsidP="007C2DF4">
            <w:pPr>
              <w:spacing w:after="0"/>
            </w:pPr>
            <w:r>
              <w:rPr>
                <w:rFonts w:ascii="Calibri" w:hAnsi="Calibri" w:cs="Calibri"/>
                <w:color w:val="000000"/>
              </w:rPr>
              <w:t>Nothing to disclose</w:t>
            </w:r>
          </w:p>
        </w:tc>
      </w:tr>
      <w:tr w:rsidR="007C2DF4" w14:paraId="7282B2C7"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670E6372" w14:textId="14C179D4" w:rsidR="007C2DF4" w:rsidRPr="00F26FC5" w:rsidRDefault="007C2DF4" w:rsidP="007C2DF4">
            <w:pPr>
              <w:spacing w:after="0"/>
              <w:rPr>
                <w:lang w:val="fr-FR"/>
              </w:rPr>
            </w:pPr>
            <w:r>
              <w:rPr>
                <w:rFonts w:ascii="Calibri" w:hAnsi="Calibri" w:cs="Calibri"/>
                <w:color w:val="000000"/>
              </w:rPr>
              <w:t>Harry Nguyen, DO</w:t>
            </w:r>
          </w:p>
        </w:tc>
        <w:tc>
          <w:tcPr>
            <w:tcW w:w="1280" w:type="pct"/>
            <w:tcBorders>
              <w:top w:val="outset" w:sz="6" w:space="0" w:color="auto"/>
              <w:left w:val="outset" w:sz="6" w:space="0" w:color="auto"/>
              <w:bottom w:val="outset" w:sz="6" w:space="0" w:color="auto"/>
              <w:right w:val="outset" w:sz="6" w:space="0" w:color="auto"/>
            </w:tcBorders>
          </w:tcPr>
          <w:p w14:paraId="2E0A0B7F" w14:textId="7C2C39C3" w:rsidR="007C2DF4" w:rsidRDefault="007C2DF4" w:rsidP="007C2DF4">
            <w:pPr>
              <w:spacing w:after="0"/>
            </w:pPr>
            <w:r>
              <w:rPr>
                <w:rFonts w:ascii="Calibri" w:hAnsi="Calibri" w:cs="Calibri"/>
                <w:color w:val="000000"/>
              </w:rPr>
              <w:t>Presenter, Panelist</w:t>
            </w:r>
          </w:p>
        </w:tc>
        <w:tc>
          <w:tcPr>
            <w:tcW w:w="2396" w:type="pct"/>
            <w:tcBorders>
              <w:top w:val="outset" w:sz="6" w:space="0" w:color="auto"/>
              <w:left w:val="outset" w:sz="6" w:space="0" w:color="auto"/>
              <w:bottom w:val="outset" w:sz="6" w:space="0" w:color="auto"/>
              <w:right w:val="outset" w:sz="6" w:space="0" w:color="auto"/>
            </w:tcBorders>
          </w:tcPr>
          <w:p w14:paraId="5267C879" w14:textId="69F68A53" w:rsidR="007C2DF4" w:rsidRDefault="007C2DF4" w:rsidP="007C2DF4">
            <w:pPr>
              <w:spacing w:after="0"/>
            </w:pPr>
            <w:r>
              <w:rPr>
                <w:rFonts w:ascii="Calibri" w:hAnsi="Calibri" w:cs="Calibri"/>
                <w:color w:val="000000"/>
              </w:rPr>
              <w:t>Nothing to disclose</w:t>
            </w:r>
          </w:p>
        </w:tc>
      </w:tr>
      <w:tr w:rsidR="007C2DF4" w14:paraId="369831D3"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1B1180EB" w14:textId="6344C312" w:rsidR="007C2DF4" w:rsidRDefault="007C2DF4" w:rsidP="007C2DF4">
            <w:pPr>
              <w:spacing w:after="0"/>
            </w:pPr>
            <w:r>
              <w:rPr>
                <w:rFonts w:ascii="Calibri" w:hAnsi="Calibri" w:cs="Calibri"/>
                <w:color w:val="000000"/>
              </w:rPr>
              <w:t>Arsen Osipov, MD</w:t>
            </w:r>
          </w:p>
        </w:tc>
        <w:tc>
          <w:tcPr>
            <w:tcW w:w="1280" w:type="pct"/>
            <w:tcBorders>
              <w:top w:val="outset" w:sz="6" w:space="0" w:color="auto"/>
              <w:left w:val="outset" w:sz="6" w:space="0" w:color="auto"/>
              <w:bottom w:val="outset" w:sz="6" w:space="0" w:color="auto"/>
              <w:right w:val="outset" w:sz="6" w:space="0" w:color="auto"/>
            </w:tcBorders>
          </w:tcPr>
          <w:p w14:paraId="098B7E55" w14:textId="717D2666" w:rsidR="007C2DF4" w:rsidRDefault="007C2DF4" w:rsidP="007C2DF4">
            <w:pPr>
              <w:spacing w:after="0"/>
            </w:pPr>
            <w:r>
              <w:rPr>
                <w:rFonts w:ascii="Calibri" w:hAnsi="Calibri" w:cs="Calibri"/>
                <w:color w:val="000000"/>
              </w:rPr>
              <w:t>Presenter</w:t>
            </w:r>
          </w:p>
        </w:tc>
        <w:tc>
          <w:tcPr>
            <w:tcW w:w="2396" w:type="pct"/>
            <w:tcBorders>
              <w:top w:val="outset" w:sz="6" w:space="0" w:color="auto"/>
              <w:left w:val="outset" w:sz="6" w:space="0" w:color="auto"/>
              <w:bottom w:val="outset" w:sz="6" w:space="0" w:color="auto"/>
              <w:right w:val="outset" w:sz="6" w:space="0" w:color="auto"/>
            </w:tcBorders>
          </w:tcPr>
          <w:p w14:paraId="477A36E1" w14:textId="7E39D6B0" w:rsidR="007C2DF4" w:rsidRDefault="007C2DF4" w:rsidP="007C2DF4">
            <w:pPr>
              <w:spacing w:after="0"/>
            </w:pPr>
            <w:r>
              <w:rPr>
                <w:rFonts w:ascii="Calibri" w:hAnsi="Calibri" w:cs="Calibri"/>
                <w:color w:val="000000"/>
              </w:rPr>
              <w:t>Nothing to disclose</w:t>
            </w:r>
          </w:p>
        </w:tc>
      </w:tr>
      <w:tr w:rsidR="007C2DF4" w14:paraId="5110EF98"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07BC4E90" w14:textId="48074869" w:rsidR="007C2DF4" w:rsidRDefault="007C2DF4" w:rsidP="007C2DF4">
            <w:pPr>
              <w:spacing w:after="0"/>
            </w:pPr>
            <w:r>
              <w:rPr>
                <w:rFonts w:ascii="Calibri" w:hAnsi="Calibri" w:cs="Calibri"/>
                <w:color w:val="000000"/>
              </w:rPr>
              <w:t xml:space="preserve">Christopher </w:t>
            </w:r>
            <w:proofErr w:type="spellStart"/>
            <w:r>
              <w:rPr>
                <w:rFonts w:ascii="Calibri" w:hAnsi="Calibri" w:cs="Calibri"/>
                <w:color w:val="000000"/>
              </w:rPr>
              <w:t>Paiji</w:t>
            </w:r>
            <w:proofErr w:type="spellEnd"/>
            <w:r>
              <w:rPr>
                <w:rFonts w:ascii="Calibri" w:hAnsi="Calibri" w:cs="Calibri"/>
                <w:color w:val="000000"/>
              </w:rPr>
              <w:t>, MD</w:t>
            </w:r>
          </w:p>
        </w:tc>
        <w:tc>
          <w:tcPr>
            <w:tcW w:w="1280" w:type="pct"/>
            <w:tcBorders>
              <w:top w:val="outset" w:sz="6" w:space="0" w:color="auto"/>
              <w:left w:val="outset" w:sz="6" w:space="0" w:color="auto"/>
              <w:bottom w:val="outset" w:sz="6" w:space="0" w:color="auto"/>
              <w:right w:val="outset" w:sz="6" w:space="0" w:color="auto"/>
            </w:tcBorders>
          </w:tcPr>
          <w:p w14:paraId="5E1E94CC" w14:textId="54EBFCF2" w:rsidR="007C2DF4" w:rsidRDefault="007C2DF4" w:rsidP="007C2DF4">
            <w:pPr>
              <w:spacing w:after="0"/>
            </w:pPr>
            <w:r>
              <w:rPr>
                <w:rFonts w:ascii="Calibri" w:hAnsi="Calibri" w:cs="Calibri"/>
                <w:color w:val="000000"/>
              </w:rPr>
              <w:t>Moderator, Panelist, Presenter</w:t>
            </w:r>
          </w:p>
        </w:tc>
        <w:tc>
          <w:tcPr>
            <w:tcW w:w="2396" w:type="pct"/>
            <w:tcBorders>
              <w:top w:val="outset" w:sz="6" w:space="0" w:color="auto"/>
              <w:left w:val="outset" w:sz="6" w:space="0" w:color="auto"/>
              <w:bottom w:val="outset" w:sz="6" w:space="0" w:color="auto"/>
              <w:right w:val="outset" w:sz="6" w:space="0" w:color="auto"/>
            </w:tcBorders>
          </w:tcPr>
          <w:p w14:paraId="563F2F93" w14:textId="491CB866" w:rsidR="007C2DF4" w:rsidRDefault="007C2DF4" w:rsidP="007C2DF4">
            <w:pPr>
              <w:spacing w:after="0"/>
            </w:pPr>
            <w:r>
              <w:rPr>
                <w:rFonts w:ascii="Calibri" w:hAnsi="Calibri" w:cs="Calibri"/>
                <w:color w:val="000000"/>
              </w:rPr>
              <w:t>Consulting Fee-Cook Medical, Inc.</w:t>
            </w:r>
          </w:p>
        </w:tc>
      </w:tr>
      <w:tr w:rsidR="007C2DF4" w14:paraId="7D3C7E6F"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11C48837" w14:textId="037C2484" w:rsidR="007C2DF4" w:rsidRDefault="007C2DF4" w:rsidP="007C2DF4">
            <w:pPr>
              <w:spacing w:after="0"/>
            </w:pPr>
            <w:r>
              <w:rPr>
                <w:rFonts w:ascii="Calibri" w:hAnsi="Calibri" w:cs="Calibri"/>
                <w:color w:val="000000"/>
              </w:rPr>
              <w:t>Nimisha Parekh, MD</w:t>
            </w:r>
          </w:p>
        </w:tc>
        <w:tc>
          <w:tcPr>
            <w:tcW w:w="1280" w:type="pct"/>
            <w:tcBorders>
              <w:top w:val="outset" w:sz="6" w:space="0" w:color="auto"/>
              <w:left w:val="outset" w:sz="6" w:space="0" w:color="auto"/>
              <w:bottom w:val="outset" w:sz="6" w:space="0" w:color="auto"/>
              <w:right w:val="outset" w:sz="6" w:space="0" w:color="auto"/>
            </w:tcBorders>
          </w:tcPr>
          <w:p w14:paraId="3BAA7255" w14:textId="4937C266" w:rsidR="007C2DF4" w:rsidRDefault="007C2DF4" w:rsidP="007C2DF4">
            <w:pPr>
              <w:spacing w:after="0"/>
            </w:pPr>
            <w:r>
              <w:rPr>
                <w:rFonts w:ascii="Calibri" w:hAnsi="Calibri" w:cs="Calibri"/>
                <w:color w:val="000000"/>
              </w:rPr>
              <w:t>Moderator</w:t>
            </w:r>
          </w:p>
        </w:tc>
        <w:tc>
          <w:tcPr>
            <w:tcW w:w="2396" w:type="pct"/>
            <w:tcBorders>
              <w:top w:val="outset" w:sz="6" w:space="0" w:color="auto"/>
              <w:left w:val="outset" w:sz="6" w:space="0" w:color="auto"/>
              <w:bottom w:val="outset" w:sz="6" w:space="0" w:color="auto"/>
              <w:right w:val="outset" w:sz="6" w:space="0" w:color="auto"/>
            </w:tcBorders>
          </w:tcPr>
          <w:p w14:paraId="14F1043E" w14:textId="58F31788" w:rsidR="007C2DF4" w:rsidRDefault="007C2DF4" w:rsidP="007C2DF4">
            <w:pPr>
              <w:spacing w:after="0"/>
            </w:pPr>
            <w:r>
              <w:rPr>
                <w:rFonts w:ascii="Calibri" w:hAnsi="Calibri" w:cs="Calibri"/>
                <w:color w:val="000000"/>
              </w:rPr>
              <w:t>Nothing to disclose</w:t>
            </w:r>
          </w:p>
        </w:tc>
      </w:tr>
      <w:tr w:rsidR="007C2DF4" w14:paraId="3CD707F4"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14CB6635" w14:textId="5DD6B424" w:rsidR="007C2DF4" w:rsidRDefault="007C2DF4" w:rsidP="007C2DF4">
            <w:pPr>
              <w:spacing w:after="0"/>
            </w:pPr>
            <w:r>
              <w:rPr>
                <w:rFonts w:ascii="Calibri" w:hAnsi="Calibri" w:cs="Calibri"/>
                <w:color w:val="000000"/>
              </w:rPr>
              <w:t>Tatyana Popkova, MS</w:t>
            </w:r>
          </w:p>
        </w:tc>
        <w:tc>
          <w:tcPr>
            <w:tcW w:w="1280" w:type="pct"/>
            <w:tcBorders>
              <w:top w:val="outset" w:sz="6" w:space="0" w:color="auto"/>
              <w:left w:val="outset" w:sz="6" w:space="0" w:color="auto"/>
              <w:bottom w:val="outset" w:sz="6" w:space="0" w:color="auto"/>
              <w:right w:val="outset" w:sz="6" w:space="0" w:color="auto"/>
            </w:tcBorders>
          </w:tcPr>
          <w:p w14:paraId="5A1CB8B9" w14:textId="265E81C3" w:rsidR="007C2DF4" w:rsidRDefault="007C2DF4" w:rsidP="007C2DF4">
            <w:pPr>
              <w:spacing w:after="0"/>
            </w:pPr>
            <w:r>
              <w:rPr>
                <w:rFonts w:ascii="Calibri" w:hAnsi="Calibri" w:cs="Calibri"/>
                <w:color w:val="000000"/>
              </w:rPr>
              <w:t>Panelist</w:t>
            </w:r>
          </w:p>
        </w:tc>
        <w:tc>
          <w:tcPr>
            <w:tcW w:w="2396" w:type="pct"/>
            <w:tcBorders>
              <w:top w:val="outset" w:sz="6" w:space="0" w:color="auto"/>
              <w:left w:val="outset" w:sz="6" w:space="0" w:color="auto"/>
              <w:bottom w:val="outset" w:sz="6" w:space="0" w:color="auto"/>
              <w:right w:val="outset" w:sz="6" w:space="0" w:color="auto"/>
            </w:tcBorders>
          </w:tcPr>
          <w:p w14:paraId="1AE77743" w14:textId="5A4FB19E" w:rsidR="007C2DF4" w:rsidRDefault="007C2DF4" w:rsidP="007C2DF4">
            <w:pPr>
              <w:spacing w:after="0"/>
            </w:pPr>
            <w:r>
              <w:rPr>
                <w:rFonts w:ascii="Calibri" w:hAnsi="Calibri" w:cs="Calibri"/>
                <w:color w:val="000000"/>
              </w:rPr>
              <w:t>Nothing to disclose</w:t>
            </w:r>
          </w:p>
        </w:tc>
      </w:tr>
      <w:tr w:rsidR="007C2DF4" w14:paraId="1F7B78DE"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2058E17A" w14:textId="32BD81A6" w:rsidR="007C2DF4" w:rsidRDefault="007C2DF4" w:rsidP="007C2DF4">
            <w:pPr>
              <w:spacing w:after="0"/>
            </w:pPr>
            <w:r>
              <w:rPr>
                <w:rFonts w:ascii="Calibri" w:hAnsi="Calibri" w:cs="Calibri"/>
                <w:color w:val="000000"/>
              </w:rPr>
              <w:t>Shravani Reddy, MD</w:t>
            </w:r>
          </w:p>
        </w:tc>
        <w:tc>
          <w:tcPr>
            <w:tcW w:w="1280" w:type="pct"/>
            <w:tcBorders>
              <w:top w:val="outset" w:sz="6" w:space="0" w:color="auto"/>
              <w:left w:val="outset" w:sz="6" w:space="0" w:color="auto"/>
              <w:bottom w:val="outset" w:sz="6" w:space="0" w:color="auto"/>
              <w:right w:val="outset" w:sz="6" w:space="0" w:color="auto"/>
            </w:tcBorders>
          </w:tcPr>
          <w:p w14:paraId="0CCEC3E4" w14:textId="77266E36" w:rsidR="007C2DF4" w:rsidRDefault="007C2DF4" w:rsidP="007C2DF4">
            <w:pPr>
              <w:spacing w:after="0"/>
            </w:pPr>
            <w:r>
              <w:rPr>
                <w:rFonts w:ascii="Calibri" w:hAnsi="Calibri" w:cs="Calibri"/>
                <w:color w:val="000000"/>
              </w:rPr>
              <w:t>Moderator, Speaker, Panelist, Presenter</w:t>
            </w:r>
          </w:p>
        </w:tc>
        <w:tc>
          <w:tcPr>
            <w:tcW w:w="2396" w:type="pct"/>
            <w:tcBorders>
              <w:top w:val="outset" w:sz="6" w:space="0" w:color="auto"/>
              <w:left w:val="outset" w:sz="6" w:space="0" w:color="auto"/>
              <w:bottom w:val="outset" w:sz="6" w:space="0" w:color="auto"/>
              <w:right w:val="outset" w:sz="6" w:space="0" w:color="auto"/>
            </w:tcBorders>
          </w:tcPr>
          <w:p w14:paraId="733DA8A3" w14:textId="233F1CFC" w:rsidR="007C2DF4" w:rsidRDefault="007C2DF4" w:rsidP="007C2DF4">
            <w:pPr>
              <w:spacing w:after="0"/>
            </w:pPr>
            <w:r>
              <w:rPr>
                <w:rFonts w:ascii="Calibri" w:hAnsi="Calibri" w:cs="Calibri"/>
                <w:color w:val="000000"/>
              </w:rPr>
              <w:t>Nothing to disclose</w:t>
            </w:r>
          </w:p>
        </w:tc>
      </w:tr>
      <w:tr w:rsidR="007C2DF4" w14:paraId="1F703B3B"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5ED895AB" w14:textId="2414C589" w:rsidR="007C2DF4" w:rsidRDefault="007C2DF4" w:rsidP="007C2DF4">
            <w:pPr>
              <w:spacing w:after="0"/>
            </w:pPr>
            <w:r>
              <w:rPr>
                <w:rFonts w:ascii="Calibri" w:hAnsi="Calibri" w:cs="Calibri"/>
                <w:color w:val="000000"/>
              </w:rPr>
              <w:t>Tara Russell, MD, PhD</w:t>
            </w:r>
          </w:p>
        </w:tc>
        <w:tc>
          <w:tcPr>
            <w:tcW w:w="1280" w:type="pct"/>
            <w:tcBorders>
              <w:top w:val="outset" w:sz="6" w:space="0" w:color="auto"/>
              <w:left w:val="outset" w:sz="6" w:space="0" w:color="auto"/>
              <w:bottom w:val="outset" w:sz="6" w:space="0" w:color="auto"/>
              <w:right w:val="outset" w:sz="6" w:space="0" w:color="auto"/>
            </w:tcBorders>
          </w:tcPr>
          <w:p w14:paraId="35F2A3BA" w14:textId="0A1A7985" w:rsidR="007C2DF4" w:rsidRDefault="007C2DF4" w:rsidP="007C2DF4">
            <w:pPr>
              <w:spacing w:after="0"/>
            </w:pPr>
            <w:r>
              <w:rPr>
                <w:rFonts w:ascii="Calibri" w:hAnsi="Calibri" w:cs="Calibri"/>
                <w:color w:val="000000"/>
              </w:rPr>
              <w:t>Presenter</w:t>
            </w:r>
          </w:p>
        </w:tc>
        <w:tc>
          <w:tcPr>
            <w:tcW w:w="2396" w:type="pct"/>
            <w:tcBorders>
              <w:top w:val="outset" w:sz="6" w:space="0" w:color="auto"/>
              <w:left w:val="outset" w:sz="6" w:space="0" w:color="auto"/>
              <w:bottom w:val="outset" w:sz="6" w:space="0" w:color="auto"/>
              <w:right w:val="outset" w:sz="6" w:space="0" w:color="auto"/>
            </w:tcBorders>
          </w:tcPr>
          <w:p w14:paraId="387FF1E9" w14:textId="0DE1A8BE" w:rsidR="007C2DF4" w:rsidRDefault="007C2DF4" w:rsidP="007C2DF4">
            <w:pPr>
              <w:spacing w:after="0"/>
            </w:pPr>
            <w:r>
              <w:rPr>
                <w:rFonts w:ascii="Calibri" w:hAnsi="Calibri" w:cs="Calibri"/>
                <w:color w:val="000000"/>
              </w:rPr>
              <w:t>Nothing to disclose</w:t>
            </w:r>
          </w:p>
        </w:tc>
      </w:tr>
      <w:tr w:rsidR="007C2DF4" w14:paraId="58B5DC57"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2F9D1A21" w14:textId="6D1F80AD" w:rsidR="007C2DF4" w:rsidRDefault="007C2DF4" w:rsidP="007C2DF4">
            <w:pPr>
              <w:spacing w:after="0"/>
            </w:pPr>
            <w:r>
              <w:rPr>
                <w:rFonts w:ascii="Calibri" w:hAnsi="Calibri" w:cs="Calibri"/>
                <w:color w:val="000000"/>
              </w:rPr>
              <w:t>Kiran Sachdev, MD</w:t>
            </w:r>
          </w:p>
        </w:tc>
        <w:tc>
          <w:tcPr>
            <w:tcW w:w="1280" w:type="pct"/>
            <w:tcBorders>
              <w:top w:val="outset" w:sz="6" w:space="0" w:color="auto"/>
              <w:left w:val="outset" w:sz="6" w:space="0" w:color="auto"/>
              <w:bottom w:val="outset" w:sz="6" w:space="0" w:color="auto"/>
              <w:right w:val="outset" w:sz="6" w:space="0" w:color="auto"/>
            </w:tcBorders>
          </w:tcPr>
          <w:p w14:paraId="390039B5" w14:textId="440E1F32" w:rsidR="007C2DF4" w:rsidRDefault="007C2DF4" w:rsidP="007C2DF4">
            <w:pPr>
              <w:spacing w:after="0"/>
            </w:pPr>
            <w:r>
              <w:rPr>
                <w:rFonts w:ascii="Calibri" w:hAnsi="Calibri" w:cs="Calibri"/>
                <w:color w:val="000000"/>
              </w:rPr>
              <w:t>Moderator, Presenter, Panelist</w:t>
            </w:r>
          </w:p>
        </w:tc>
        <w:tc>
          <w:tcPr>
            <w:tcW w:w="2396" w:type="pct"/>
            <w:tcBorders>
              <w:top w:val="outset" w:sz="6" w:space="0" w:color="auto"/>
              <w:left w:val="outset" w:sz="6" w:space="0" w:color="auto"/>
              <w:bottom w:val="outset" w:sz="6" w:space="0" w:color="auto"/>
              <w:right w:val="outset" w:sz="6" w:space="0" w:color="auto"/>
            </w:tcBorders>
          </w:tcPr>
          <w:p w14:paraId="58B2A6CD" w14:textId="1C7D7DDA" w:rsidR="007C2DF4" w:rsidRDefault="007C2DF4" w:rsidP="007C2DF4">
            <w:pPr>
              <w:spacing w:after="0"/>
            </w:pPr>
            <w:r>
              <w:rPr>
                <w:rFonts w:ascii="Calibri" w:hAnsi="Calibri" w:cs="Calibri"/>
                <w:color w:val="000000"/>
              </w:rPr>
              <w:t>Nothing to disclose</w:t>
            </w:r>
          </w:p>
        </w:tc>
      </w:tr>
      <w:tr w:rsidR="007C2DF4" w14:paraId="0CC40975"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53D2D596" w14:textId="7FAA8907" w:rsidR="007C2DF4" w:rsidRDefault="007C2DF4" w:rsidP="007C2DF4">
            <w:pPr>
              <w:spacing w:after="0"/>
            </w:pPr>
            <w:r>
              <w:rPr>
                <w:rFonts w:ascii="Calibri" w:hAnsi="Calibri" w:cs="Calibri"/>
                <w:color w:val="000000"/>
              </w:rPr>
              <w:t>Mark Salem, MD</w:t>
            </w:r>
          </w:p>
        </w:tc>
        <w:tc>
          <w:tcPr>
            <w:tcW w:w="1280" w:type="pct"/>
            <w:tcBorders>
              <w:top w:val="outset" w:sz="6" w:space="0" w:color="auto"/>
              <w:left w:val="outset" w:sz="6" w:space="0" w:color="auto"/>
              <w:bottom w:val="outset" w:sz="6" w:space="0" w:color="auto"/>
              <w:right w:val="outset" w:sz="6" w:space="0" w:color="auto"/>
            </w:tcBorders>
          </w:tcPr>
          <w:p w14:paraId="5A58CF7B" w14:textId="61BFCAFE" w:rsidR="007C2DF4" w:rsidRDefault="007C2DF4" w:rsidP="007C2DF4">
            <w:pPr>
              <w:spacing w:after="0"/>
            </w:pPr>
            <w:r>
              <w:rPr>
                <w:rFonts w:ascii="Calibri" w:hAnsi="Calibri" w:cs="Calibri"/>
                <w:color w:val="000000"/>
              </w:rPr>
              <w:t>Presenter</w:t>
            </w:r>
          </w:p>
        </w:tc>
        <w:tc>
          <w:tcPr>
            <w:tcW w:w="2396" w:type="pct"/>
            <w:tcBorders>
              <w:top w:val="outset" w:sz="6" w:space="0" w:color="auto"/>
              <w:left w:val="outset" w:sz="6" w:space="0" w:color="auto"/>
              <w:bottom w:val="outset" w:sz="6" w:space="0" w:color="auto"/>
              <w:right w:val="outset" w:sz="6" w:space="0" w:color="auto"/>
            </w:tcBorders>
          </w:tcPr>
          <w:p w14:paraId="1C1C826B" w14:textId="1A93543C" w:rsidR="007C2DF4" w:rsidRDefault="007C2DF4" w:rsidP="007C2DF4">
            <w:pPr>
              <w:spacing w:after="0"/>
            </w:pPr>
            <w:r>
              <w:rPr>
                <w:rFonts w:ascii="Calibri" w:hAnsi="Calibri" w:cs="Calibri"/>
                <w:color w:val="000000"/>
              </w:rPr>
              <w:t>Nothing to disclose</w:t>
            </w:r>
          </w:p>
        </w:tc>
      </w:tr>
      <w:tr w:rsidR="007C2DF4" w14:paraId="4E44C374"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57AB8506" w14:textId="7942EC59" w:rsidR="007C2DF4" w:rsidRDefault="007C2DF4" w:rsidP="007C2DF4">
            <w:pPr>
              <w:spacing w:after="0"/>
            </w:pPr>
            <w:r>
              <w:rPr>
                <w:rFonts w:ascii="Calibri" w:hAnsi="Calibri" w:cs="Calibri"/>
                <w:color w:val="000000"/>
              </w:rPr>
              <w:t xml:space="preserve">Jason </w:t>
            </w:r>
            <w:proofErr w:type="spellStart"/>
            <w:r>
              <w:rPr>
                <w:rFonts w:ascii="Calibri" w:hAnsi="Calibri" w:cs="Calibri"/>
                <w:color w:val="000000"/>
              </w:rPr>
              <w:t>Samarasena</w:t>
            </w:r>
            <w:proofErr w:type="spellEnd"/>
            <w:r>
              <w:rPr>
                <w:rFonts w:ascii="Calibri" w:hAnsi="Calibri" w:cs="Calibri"/>
                <w:color w:val="000000"/>
              </w:rPr>
              <w:t>, MD</w:t>
            </w:r>
          </w:p>
        </w:tc>
        <w:tc>
          <w:tcPr>
            <w:tcW w:w="1280" w:type="pct"/>
            <w:tcBorders>
              <w:top w:val="outset" w:sz="6" w:space="0" w:color="auto"/>
              <w:left w:val="outset" w:sz="6" w:space="0" w:color="auto"/>
              <w:bottom w:val="outset" w:sz="6" w:space="0" w:color="auto"/>
              <w:right w:val="outset" w:sz="6" w:space="0" w:color="auto"/>
            </w:tcBorders>
          </w:tcPr>
          <w:p w14:paraId="6A1B27DF" w14:textId="0D830C00" w:rsidR="007C2DF4" w:rsidRDefault="007C2DF4" w:rsidP="007C2DF4">
            <w:pPr>
              <w:spacing w:after="0"/>
            </w:pPr>
            <w:r>
              <w:rPr>
                <w:rFonts w:ascii="Calibri" w:hAnsi="Calibri" w:cs="Calibri"/>
                <w:color w:val="000000"/>
              </w:rPr>
              <w:t>Presenter</w:t>
            </w:r>
          </w:p>
        </w:tc>
        <w:tc>
          <w:tcPr>
            <w:tcW w:w="2396" w:type="pct"/>
            <w:tcBorders>
              <w:top w:val="outset" w:sz="6" w:space="0" w:color="auto"/>
              <w:left w:val="outset" w:sz="6" w:space="0" w:color="auto"/>
              <w:bottom w:val="outset" w:sz="6" w:space="0" w:color="auto"/>
              <w:right w:val="outset" w:sz="6" w:space="0" w:color="auto"/>
            </w:tcBorders>
          </w:tcPr>
          <w:p w14:paraId="2ED5770C" w14:textId="22FA16E1" w:rsidR="007C2DF4" w:rsidRDefault="007C2DF4" w:rsidP="007C2DF4">
            <w:pPr>
              <w:spacing w:after="0"/>
            </w:pPr>
            <w:r>
              <w:rPr>
                <w:rFonts w:ascii="Calibri" w:hAnsi="Calibri" w:cs="Calibri"/>
                <w:color w:val="000000"/>
              </w:rPr>
              <w:t xml:space="preserve">Advisor-Olympus </w:t>
            </w:r>
            <w:proofErr w:type="spellStart"/>
            <w:r>
              <w:rPr>
                <w:rFonts w:ascii="Calibri" w:hAnsi="Calibri" w:cs="Calibri"/>
                <w:color w:val="000000"/>
              </w:rPr>
              <w:t>Corporation|Consulting</w:t>
            </w:r>
            <w:proofErr w:type="spellEnd"/>
            <w:r>
              <w:rPr>
                <w:rFonts w:ascii="Calibri" w:hAnsi="Calibri" w:cs="Calibri"/>
                <w:color w:val="000000"/>
              </w:rPr>
              <w:t xml:space="preserve"> Fee-Cook Medical, </w:t>
            </w:r>
            <w:proofErr w:type="spellStart"/>
            <w:r>
              <w:rPr>
                <w:rFonts w:ascii="Calibri" w:hAnsi="Calibri" w:cs="Calibri"/>
                <w:color w:val="000000"/>
              </w:rPr>
              <w:t>Inc.|Consulting</w:t>
            </w:r>
            <w:proofErr w:type="spellEnd"/>
            <w:r>
              <w:rPr>
                <w:rFonts w:ascii="Calibri" w:hAnsi="Calibri" w:cs="Calibri"/>
                <w:color w:val="000000"/>
              </w:rPr>
              <w:t xml:space="preserve"> Fee-Boston Scientific Corporation</w:t>
            </w:r>
          </w:p>
        </w:tc>
      </w:tr>
      <w:tr w:rsidR="007C2DF4" w14:paraId="7D9DB0D7"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3F0B068B" w14:textId="64FF4B86" w:rsidR="007C2DF4" w:rsidRDefault="007C2DF4" w:rsidP="007C2DF4">
            <w:pPr>
              <w:spacing w:after="0"/>
            </w:pPr>
            <w:r>
              <w:rPr>
                <w:rFonts w:ascii="Calibri" w:hAnsi="Calibri" w:cs="Calibri"/>
                <w:color w:val="000000"/>
              </w:rPr>
              <w:t>Skandan Shanmugan, MD</w:t>
            </w:r>
          </w:p>
        </w:tc>
        <w:tc>
          <w:tcPr>
            <w:tcW w:w="1280" w:type="pct"/>
            <w:tcBorders>
              <w:top w:val="outset" w:sz="6" w:space="0" w:color="auto"/>
              <w:left w:val="outset" w:sz="6" w:space="0" w:color="auto"/>
              <w:bottom w:val="outset" w:sz="6" w:space="0" w:color="auto"/>
              <w:right w:val="outset" w:sz="6" w:space="0" w:color="auto"/>
            </w:tcBorders>
          </w:tcPr>
          <w:p w14:paraId="2506CE53" w14:textId="19FEE228" w:rsidR="007C2DF4" w:rsidRDefault="007C2DF4" w:rsidP="007C2DF4">
            <w:pPr>
              <w:spacing w:after="0"/>
            </w:pPr>
            <w:r>
              <w:rPr>
                <w:rFonts w:ascii="Calibri" w:hAnsi="Calibri" w:cs="Calibri"/>
                <w:color w:val="000000"/>
              </w:rPr>
              <w:t>Moderator, Panelist</w:t>
            </w:r>
          </w:p>
        </w:tc>
        <w:tc>
          <w:tcPr>
            <w:tcW w:w="2396" w:type="pct"/>
            <w:tcBorders>
              <w:top w:val="outset" w:sz="6" w:space="0" w:color="auto"/>
              <w:left w:val="outset" w:sz="6" w:space="0" w:color="auto"/>
              <w:bottom w:val="outset" w:sz="6" w:space="0" w:color="auto"/>
              <w:right w:val="outset" w:sz="6" w:space="0" w:color="auto"/>
            </w:tcBorders>
          </w:tcPr>
          <w:p w14:paraId="1126191A" w14:textId="6DC6DD2B" w:rsidR="007C2DF4" w:rsidRDefault="007C2DF4" w:rsidP="007C2DF4">
            <w:pPr>
              <w:spacing w:after="0"/>
            </w:pPr>
            <w:r>
              <w:rPr>
                <w:rFonts w:ascii="Calibri" w:hAnsi="Calibri" w:cs="Calibri"/>
                <w:color w:val="000000"/>
              </w:rPr>
              <w:t>Nothing to disclose</w:t>
            </w:r>
          </w:p>
        </w:tc>
      </w:tr>
      <w:tr w:rsidR="007C2DF4" w14:paraId="635079A6" w14:textId="77777777" w:rsidTr="004434DA">
        <w:trPr>
          <w:tblCellSpacing w:w="15" w:type="dxa"/>
        </w:trPr>
        <w:tc>
          <w:tcPr>
            <w:tcW w:w="1269" w:type="pct"/>
            <w:tcBorders>
              <w:top w:val="outset" w:sz="6" w:space="0" w:color="auto"/>
              <w:left w:val="outset" w:sz="6" w:space="0" w:color="auto"/>
              <w:bottom w:val="outset" w:sz="6" w:space="0" w:color="auto"/>
              <w:right w:val="outset" w:sz="6" w:space="0" w:color="auto"/>
            </w:tcBorders>
          </w:tcPr>
          <w:p w14:paraId="2596235D" w14:textId="37A5958A" w:rsidR="007C2DF4" w:rsidRDefault="007C2DF4" w:rsidP="007C2DF4">
            <w:pPr>
              <w:spacing w:after="0"/>
            </w:pPr>
            <w:r>
              <w:rPr>
                <w:rFonts w:ascii="Calibri" w:hAnsi="Calibri" w:cs="Calibri"/>
                <w:color w:val="000000"/>
              </w:rPr>
              <w:t>Sidhartha Sinha, MD</w:t>
            </w:r>
          </w:p>
        </w:tc>
        <w:tc>
          <w:tcPr>
            <w:tcW w:w="1280" w:type="pct"/>
            <w:tcBorders>
              <w:top w:val="outset" w:sz="6" w:space="0" w:color="auto"/>
              <w:left w:val="outset" w:sz="6" w:space="0" w:color="auto"/>
              <w:bottom w:val="outset" w:sz="6" w:space="0" w:color="auto"/>
              <w:right w:val="outset" w:sz="6" w:space="0" w:color="auto"/>
            </w:tcBorders>
          </w:tcPr>
          <w:p w14:paraId="0BD778FC" w14:textId="0BD1D112" w:rsidR="007C2DF4" w:rsidRDefault="007C2DF4" w:rsidP="007C2DF4">
            <w:pPr>
              <w:spacing w:after="0"/>
            </w:pPr>
            <w:r>
              <w:rPr>
                <w:rFonts w:ascii="Calibri" w:hAnsi="Calibri" w:cs="Calibri"/>
                <w:color w:val="000000"/>
              </w:rPr>
              <w:t>Presenter</w:t>
            </w:r>
          </w:p>
        </w:tc>
        <w:tc>
          <w:tcPr>
            <w:tcW w:w="2396" w:type="pct"/>
            <w:tcBorders>
              <w:top w:val="outset" w:sz="6" w:space="0" w:color="auto"/>
              <w:left w:val="outset" w:sz="6" w:space="0" w:color="auto"/>
              <w:bottom w:val="outset" w:sz="6" w:space="0" w:color="auto"/>
              <w:right w:val="outset" w:sz="6" w:space="0" w:color="auto"/>
            </w:tcBorders>
          </w:tcPr>
          <w:p w14:paraId="644918FC" w14:textId="56F050D5" w:rsidR="007C2DF4" w:rsidRDefault="007C2DF4" w:rsidP="007C2DF4">
            <w:pPr>
              <w:spacing w:after="0"/>
            </w:pPr>
            <w:r>
              <w:rPr>
                <w:rFonts w:ascii="Calibri" w:hAnsi="Calibri" w:cs="Calibri"/>
                <w:color w:val="000000"/>
              </w:rPr>
              <w:t>Nothing to disclose</w:t>
            </w:r>
          </w:p>
        </w:tc>
      </w:tr>
    </w:tbl>
    <w:p w14:paraId="2157CA0C" w14:textId="77777777" w:rsidR="00F26FC5" w:rsidRDefault="00F26FC5">
      <w:pPr>
        <w:spacing w:after="280" w:afterAutospacing="1"/>
        <w:rPr>
          <w:sz w:val="20"/>
          <w:szCs w:val="20"/>
        </w:rPr>
      </w:pPr>
    </w:p>
    <w:p w14:paraId="3FEEE1B0" w14:textId="77777777" w:rsidR="00F26FC5" w:rsidRDefault="00F26FC5" w:rsidP="004F716E">
      <w:pPr>
        <w:spacing w:after="0" w:line="240" w:lineRule="auto"/>
        <w:contextualSpacing/>
        <w:rPr>
          <w:sz w:val="20"/>
          <w:szCs w:val="20"/>
        </w:rPr>
      </w:pPr>
    </w:p>
    <w:p w14:paraId="4A54E0AC" w14:textId="77777777" w:rsidR="00F26FC5" w:rsidRPr="00302AD4" w:rsidRDefault="00F26FC5" w:rsidP="004F716E">
      <w:pPr>
        <w:spacing w:after="0" w:line="240" w:lineRule="auto"/>
        <w:contextualSpacing/>
        <w:rPr>
          <w:b/>
          <w:bCs/>
          <w:sz w:val="24"/>
          <w:szCs w:val="24"/>
        </w:rPr>
      </w:pPr>
      <w:r>
        <w:rPr>
          <w:b/>
          <w:bCs/>
          <w:sz w:val="24"/>
          <w:szCs w:val="24"/>
        </w:rPr>
        <w:t>Agenda</w:t>
      </w:r>
    </w:p>
    <w:p w14:paraId="353C081E" w14:textId="77777777" w:rsidR="00F26FC5" w:rsidRPr="00302AD4" w:rsidRDefault="00F26FC5" w:rsidP="004F716E">
      <w:pPr>
        <w:spacing w:after="0" w:line="240" w:lineRule="auto"/>
        <w:contextualSpacing/>
        <w:rPr>
          <w:b/>
          <w:bCs/>
          <w:sz w:val="20"/>
          <w:szCs w:val="20"/>
        </w:rPr>
      </w:pPr>
      <w:r>
        <w:rPr>
          <w:b/>
          <w:bCs/>
          <w:sz w:val="20"/>
          <w:szCs w:val="20"/>
        </w:rPr>
        <w:t>[INSERT AGENDA HERE MANUALLY]</w:t>
      </w:r>
    </w:p>
    <w:p w14:paraId="5B10345F" w14:textId="77777777" w:rsidR="00F26FC5" w:rsidRDefault="00F26FC5" w:rsidP="004F716E">
      <w:pPr>
        <w:spacing w:after="0" w:line="240" w:lineRule="auto"/>
        <w:contextualSpacing/>
        <w:rPr>
          <w:sz w:val="20"/>
          <w:szCs w:val="20"/>
        </w:rPr>
      </w:pPr>
    </w:p>
    <w:p w14:paraId="17B619AC" w14:textId="77777777" w:rsidR="00F26FC5" w:rsidRPr="00302AD4" w:rsidRDefault="00F26FC5" w:rsidP="004F716E">
      <w:pPr>
        <w:spacing w:after="0" w:line="240" w:lineRule="auto"/>
        <w:contextualSpacing/>
        <w:rPr>
          <w:b/>
          <w:bCs/>
          <w:sz w:val="24"/>
          <w:szCs w:val="24"/>
        </w:rPr>
      </w:pPr>
      <w:r>
        <w:rPr>
          <w:b/>
          <w:bCs/>
          <w:sz w:val="24"/>
          <w:szCs w:val="24"/>
        </w:rPr>
        <w:t>Acknowledgement of Commercial Support</w:t>
      </w:r>
    </w:p>
    <w:p w14:paraId="4003AA4F" w14:textId="1DFD6DD3" w:rsidR="00F26FC5" w:rsidRDefault="00F26FC5">
      <w:pPr>
        <w:spacing w:after="0" w:line="240" w:lineRule="auto"/>
        <w:contextualSpacing/>
        <w:rPr>
          <w:sz w:val="24"/>
          <w:szCs w:val="24"/>
        </w:rPr>
      </w:pPr>
      <w:r>
        <w:rPr>
          <w:sz w:val="24"/>
          <w:szCs w:val="24"/>
        </w:rPr>
        <w:t>The University of California, Irvine School of Medicine would like the thank the following companies for their support of this educational activity:</w:t>
      </w:r>
    </w:p>
    <w:p w14:paraId="076C1B6C" w14:textId="77777777" w:rsidR="00F26FC5" w:rsidRDefault="00F26FC5">
      <w:pPr>
        <w:spacing w:after="0" w:line="240" w:lineRule="auto"/>
        <w:contextualSpacing/>
        <w:rPr>
          <w:sz w:val="24"/>
          <w:szCs w:val="24"/>
        </w:rPr>
      </w:pPr>
    </w:p>
    <w:p w14:paraId="06DA269A" w14:textId="11FC77D0" w:rsidR="00F26FC5" w:rsidRDefault="00F26FC5">
      <w:pPr>
        <w:spacing w:after="0" w:line="240" w:lineRule="auto"/>
        <w:contextualSpacing/>
        <w:rPr>
          <w:sz w:val="24"/>
          <w:szCs w:val="24"/>
        </w:rPr>
      </w:pPr>
      <w:r>
        <w:rPr>
          <w:sz w:val="24"/>
          <w:szCs w:val="24"/>
        </w:rPr>
        <w:tab/>
        <w:t>Fuji Film (Financial)</w:t>
      </w:r>
    </w:p>
    <w:p w14:paraId="49AB3D9D" w14:textId="2C70F744" w:rsidR="00F26FC5" w:rsidRPr="00302AD4" w:rsidRDefault="00F26FC5">
      <w:pPr>
        <w:spacing w:after="0" w:line="240" w:lineRule="auto"/>
        <w:contextualSpacing/>
        <w:rPr>
          <w:sz w:val="24"/>
          <w:szCs w:val="24"/>
        </w:rPr>
      </w:pPr>
      <w:r>
        <w:rPr>
          <w:sz w:val="24"/>
          <w:szCs w:val="24"/>
        </w:rPr>
        <w:tab/>
        <w:t>Boston Scientific (Financial and In-Kind)</w:t>
      </w:r>
    </w:p>
    <w:sectPr w:rsidR="00F26FC5" w:rsidRPr="00302AD4"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E0201"/>
    <w:multiLevelType w:val="multilevel"/>
    <w:tmpl w:val="FC029496"/>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15:restartNumberingAfterBreak="0">
    <w:nsid w:val="5D583052"/>
    <w:multiLevelType w:val="multilevel"/>
    <w:tmpl w:val="E81AD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0667372">
    <w:abstractNumId w:val="1"/>
  </w:num>
  <w:num w:numId="2" w16cid:durableId="179466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ACF"/>
    <w:rsid w:val="004434DA"/>
    <w:rsid w:val="007C2DF4"/>
    <w:rsid w:val="00885ACF"/>
    <w:rsid w:val="00EA2CEB"/>
    <w:rsid w:val="00F2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BA11"/>
  <w15:docId w15:val="{13AB58AA-1C1B-4840-A1BA-1E9D39FC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1">
    <w:name w:val="Unresolved Mention1"/>
    <w:basedOn w:val="DefaultParagraphFont"/>
    <w:uiPriority w:val="99"/>
    <w:semiHidden/>
    <w:unhideWhenUsed/>
    <w:rsid w:val="007312E1"/>
    <w:rPr>
      <w:color w:val="605E5C"/>
      <w:shd w:val="clear" w:color="auto" w:fill="E1DFDD"/>
    </w:rPr>
  </w:style>
  <w:style w:type="character" w:customStyle="1" w:styleId="citation-158">
    <w:name w:val="citation-158"/>
    <w:basedOn w:val="DefaultParagraphFont"/>
    <w:rsid w:val="004434DA"/>
  </w:style>
  <w:style w:type="character" w:customStyle="1" w:styleId="citation-157">
    <w:name w:val="citation-157"/>
    <w:basedOn w:val="DefaultParagraphFont"/>
    <w:rsid w:val="004434DA"/>
  </w:style>
  <w:style w:type="character" w:customStyle="1" w:styleId="citation-156">
    <w:name w:val="citation-156"/>
    <w:basedOn w:val="DefaultParagraphFont"/>
    <w:rsid w:val="00443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216581">
      <w:bodyDiv w:val="1"/>
      <w:marLeft w:val="0"/>
      <w:marRight w:val="0"/>
      <w:marTop w:val="0"/>
      <w:marBottom w:val="0"/>
      <w:divBdr>
        <w:top w:val="none" w:sz="0" w:space="0" w:color="auto"/>
        <w:left w:val="none" w:sz="0" w:space="0" w:color="auto"/>
        <w:bottom w:val="none" w:sz="0" w:space="0" w:color="auto"/>
        <w:right w:val="none" w:sz="0" w:space="0" w:color="auto"/>
      </w:divBdr>
      <w:divsChild>
        <w:div w:id="2017880134">
          <w:marLeft w:val="0"/>
          <w:marRight w:val="0"/>
          <w:marTop w:val="0"/>
          <w:marBottom w:val="0"/>
          <w:divBdr>
            <w:top w:val="none" w:sz="0" w:space="0" w:color="auto"/>
            <w:left w:val="none" w:sz="0" w:space="0" w:color="auto"/>
            <w:bottom w:val="none" w:sz="0" w:space="0" w:color="auto"/>
            <w:right w:val="none" w:sz="0" w:space="0" w:color="auto"/>
          </w:divBdr>
        </w:div>
      </w:divsChild>
    </w:div>
    <w:div w:id="561794940">
      <w:bodyDiv w:val="1"/>
      <w:marLeft w:val="0"/>
      <w:marRight w:val="0"/>
      <w:marTop w:val="0"/>
      <w:marBottom w:val="0"/>
      <w:divBdr>
        <w:top w:val="none" w:sz="0" w:space="0" w:color="auto"/>
        <w:left w:val="none" w:sz="0" w:space="0" w:color="auto"/>
        <w:bottom w:val="none" w:sz="0" w:space="0" w:color="auto"/>
        <w:right w:val="none" w:sz="0" w:space="0" w:color="auto"/>
      </w:divBdr>
    </w:div>
    <w:div w:id="650452539">
      <w:bodyDiv w:val="1"/>
      <w:marLeft w:val="0"/>
      <w:marRight w:val="0"/>
      <w:marTop w:val="0"/>
      <w:marBottom w:val="0"/>
      <w:divBdr>
        <w:top w:val="none" w:sz="0" w:space="0" w:color="auto"/>
        <w:left w:val="none" w:sz="0" w:space="0" w:color="auto"/>
        <w:bottom w:val="none" w:sz="0" w:space="0" w:color="auto"/>
        <w:right w:val="none" w:sz="0" w:space="0" w:color="auto"/>
      </w:divBdr>
    </w:div>
    <w:div w:id="1836258066">
      <w:bodyDiv w:val="1"/>
      <w:marLeft w:val="0"/>
      <w:marRight w:val="0"/>
      <w:marTop w:val="0"/>
      <w:marBottom w:val="0"/>
      <w:divBdr>
        <w:top w:val="none" w:sz="0" w:space="0" w:color="auto"/>
        <w:left w:val="none" w:sz="0" w:space="0" w:color="auto"/>
        <w:bottom w:val="none" w:sz="0" w:space="0" w:color="auto"/>
        <w:right w:val="none" w:sz="0" w:space="0" w:color="auto"/>
      </w:divBdr>
      <w:divsChild>
        <w:div w:id="34353120">
          <w:marLeft w:val="0"/>
          <w:marRight w:val="0"/>
          <w:marTop w:val="0"/>
          <w:marBottom w:val="0"/>
          <w:divBdr>
            <w:top w:val="none" w:sz="0" w:space="0" w:color="auto"/>
            <w:left w:val="none" w:sz="0" w:space="0" w:color="auto"/>
            <w:bottom w:val="none" w:sz="0" w:space="0" w:color="auto"/>
            <w:right w:val="none" w:sz="0" w:space="0" w:color="auto"/>
          </w:divBdr>
        </w:div>
      </w:divsChild>
    </w:div>
    <w:div w:id="2144233412">
      <w:bodyDiv w:val="1"/>
      <w:marLeft w:val="0"/>
      <w:marRight w:val="0"/>
      <w:marTop w:val="0"/>
      <w:marBottom w:val="0"/>
      <w:divBdr>
        <w:top w:val="none" w:sz="0" w:space="0" w:color="auto"/>
        <w:left w:val="none" w:sz="0" w:space="0" w:color="auto"/>
        <w:bottom w:val="none" w:sz="0" w:space="0" w:color="auto"/>
        <w:right w:val="none" w:sz="0" w:space="0" w:color="auto"/>
      </w:divBdr>
      <w:divsChild>
        <w:div w:id="1353071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ab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continuingcertification.org/" TargetMode="External"/><Relationship Id="rId5" Type="http://schemas.openxmlformats.org/officeDocument/2006/relationships/hyperlink" Target="https://www.meded.uci.edu/CM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4005</Words>
  <Characters>22833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Doughty, Alyssa</cp:lastModifiedBy>
  <cp:revision>2</cp:revision>
  <dcterms:created xsi:type="dcterms:W3CDTF">2026-04-06T16:15:00Z</dcterms:created>
  <dcterms:modified xsi:type="dcterms:W3CDTF">2026-04-06T16:15:00Z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177a08f2-1378-4e98-8985-6891e418fcfe</vt:lpwstr>
  </property>
</Properties>
</file>