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67105" w:rsidP="004F716E">
      <w:pPr>
        <w:spacing w:after="0" w:line="240" w:lineRule="auto"/>
        <w:contextualSpacing/>
        <w:jc w:val="center"/>
        <w:rPr>
          <w:b/>
          <w:bCs/>
          <w:sz w:val="20"/>
          <w:szCs w:val="20"/>
        </w:rPr>
      </w:pPr>
      <w:bookmarkStart w:id="0" w:name="_Hlk135140857"/>
      <w:bookmarkEnd w:id="0"/>
      <w:r w:rsidRPr="00467105">
        <w:rPr>
          <w:b/>
          <w:bCs/>
          <w:sz w:val="20"/>
          <w:szCs w:val="20"/>
        </w:rPr>
        <w:fldChar w:fldCharType="begin"/>
      </w:r>
      <w:r w:rsidRPr="00467105">
        <w:rPr>
          <w:b/>
          <w:bCs/>
          <w:sz w:val="20"/>
          <w:szCs w:val="20"/>
        </w:rPr>
        <w:instrText xml:space="preserve"> IF </w:instrText>
      </w:r>
      <w:r w:rsidRPr="00467105">
        <w:rPr>
          <w:b/>
          <w:bCs/>
          <w:sz w:val="20"/>
          <w:szCs w:val="20"/>
        </w:rPr>
        <w:instrText>"</w:instrText>
      </w:r>
      <w:r w:rsidRPr="00467105">
        <w:rPr>
          <w:b/>
          <w:bCs/>
          <w:sz w:val="20"/>
          <w:szCs w:val="20"/>
        </w:rPr>
        <w:instrText>"</w:instrText>
      </w:r>
      <w:r w:rsidRPr="00467105">
        <w:rPr>
          <w:b/>
          <w:bCs/>
          <w:sz w:val="20"/>
          <w:szCs w:val="20"/>
        </w:rPr>
        <w:instrText xml:space="preserve">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sidR="00B86886">
        <w:rPr>
          <w:b/>
          <w:bCs/>
          <w:noProof/>
          <w:sz w:val="28"/>
          <w:szCs w:val="28"/>
        </w:rPr>
        <w:instrText>«ParentName»</w:instrText>
      </w:r>
      <w:r w:rsidRPr="00467105">
        <w:rPr>
          <w:b/>
          <w:bCs/>
          <w:sz w:val="28"/>
          <w:szCs w:val="28"/>
        </w:rPr>
        <w:fldChar w:fldCharType="end"/>
      </w:r>
    </w:p>
    <w:p w:rsidR="00B86886" w:rsidP="004F716E">
      <w:pPr>
        <w:spacing w:after="0" w:line="240" w:lineRule="auto"/>
        <w:contextualSpacing/>
        <w:jc w:val="center"/>
        <w:rPr>
          <w:b/>
          <w:bCs/>
          <w:noProof/>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UC Irvine International Women's Health and Pelvic Reconstruction Course</w:instrText>
      </w:r>
      <w:r w:rsidRPr="00467105">
        <w:rPr>
          <w:b/>
          <w:bCs/>
          <w:sz w:val="20"/>
          <w:szCs w:val="20"/>
        </w:rPr>
        <w:instrText>"</w:instrText>
      </w:r>
      <w:r w:rsidRPr="00467105" w:rsidR="004F716E">
        <w:rPr>
          <w:b/>
          <w:bCs/>
          <w:sz w:val="20"/>
          <w:szCs w:val="20"/>
        </w:rPr>
        <w:instrText xml:space="preserve"> </w:instrText>
      </w:r>
      <w:r w:rsidRPr="00467105" w:rsidR="004F716E">
        <w:rPr>
          <w:b/>
          <w:bCs/>
          <w:sz w:val="20"/>
          <w:szCs w:val="20"/>
        </w:rPr>
        <w:fldChar w:fldCharType="separate"/>
      </w:r>
      <w:r w:rsidRPr="00467105">
        <w:rPr>
          <w:b/>
          <w:bCs/>
          <w:sz w:val="28"/>
          <w:szCs w:val="28"/>
        </w:rPr>
        <w:t>UC Irvine International Women's Health and Pelvic Reconstruction Course</w:t>
      </w:r>
      <w:r w:rsidRPr="00467105" w:rsidR="004F716E">
        <w:rPr>
          <w:b/>
          <w:bCs/>
          <w:sz w:val="20"/>
          <w:szCs w:val="20"/>
        </w:rPr>
        <w:fldChar w:fldCharType="end"/>
      </w:r>
    </w:p>
    <w:p w:rsidR="004F716E" w:rsidP="004F716E">
      <w:pPr>
        <w:spacing w:after="0" w:line="240" w:lineRule="auto"/>
        <w:contextualSpacing/>
        <w:rPr>
          <w:sz w:val="20"/>
          <w:szCs w:val="20"/>
        </w:rPr>
      </w:pPr>
    </w:p>
    <w:p w:rsidR="00467105" w:rsidRPr="00F73D88" w:rsidP="00467105">
      <w:pPr>
        <w:spacing w:after="0" w:line="240" w:lineRule="auto"/>
        <w:contextualSpacing/>
        <w:jc w:val="center"/>
        <w:rPr>
          <w:sz w:val="24"/>
          <w:szCs w:val="24"/>
        </w:rPr>
      </w:pPr>
      <w:r>
        <w:rPr>
          <w:sz w:val="24"/>
          <w:szCs w:val="24"/>
        </w:rPr>
        <w:t>August 22, 2026</w:t>
      </w:r>
      <w:r>
        <w:rPr>
          <w:sz w:val="24"/>
          <w:szCs w:val="24"/>
        </w:rPr>
        <w:fldChar w:fldCharType="begin"/>
      </w:r>
      <w:r>
        <w:rPr>
          <w:sz w:val="24"/>
          <w:szCs w:val="24"/>
        </w:rPr>
        <w:instrText xml:space="preserve"> IF </w:instrText>
      </w:r>
      <w:r>
        <w:rPr>
          <w:sz w:val="24"/>
          <w:szCs w:val="24"/>
        </w:rPr>
        <w:instrText>"</w:instrText>
      </w:r>
      <w:r>
        <w:rPr>
          <w:sz w:val="24"/>
          <w:szCs w:val="24"/>
        </w:rPr>
        <w:instrText>8 22 2026</w:instrText>
      </w:r>
      <w:r>
        <w:rPr>
          <w:sz w:val="24"/>
          <w:szCs w:val="24"/>
        </w:rPr>
        <w:instrText>"</w:instrText>
      </w:r>
      <w:r>
        <w:rPr>
          <w:sz w:val="24"/>
          <w:szCs w:val="24"/>
        </w:rPr>
        <w:instrText xml:space="preserve"> &lt;&gt; </w:instrText>
      </w:r>
      <w:r>
        <w:rPr>
          <w:sz w:val="24"/>
          <w:szCs w:val="24"/>
        </w:rPr>
        <w:instrText>"</w:instrText>
      </w:r>
      <w:r>
        <w:rPr>
          <w:sz w:val="24"/>
          <w:szCs w:val="24"/>
        </w:rPr>
        <w:instrText>8 22 2026</w:instrText>
      </w:r>
      <w:r>
        <w:rPr>
          <w:sz w:val="24"/>
          <w:szCs w:val="24"/>
        </w:rPr>
        <w:instrText>"</w:instrText>
      </w:r>
      <w:r>
        <w:rPr>
          <w:sz w:val="24"/>
          <w:szCs w:val="24"/>
        </w:rPr>
        <w:instrText xml:space="preserve"> "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EndTime \@ "MMMM d, yyyy" </w:instrText>
      </w:r>
      <w:r>
        <w:rPr>
          <w:sz w:val="24"/>
          <w:szCs w:val="24"/>
        </w:rPr>
        <w:fldChar w:fldCharType="separate"/>
      </w:r>
      <w:r w:rsidR="00B86886">
        <w:rPr>
          <w:noProof/>
          <w:sz w:val="24"/>
          <w:szCs w:val="24"/>
        </w:rPr>
        <w:instrText>«EndTime»</w:instrText>
      </w:r>
      <w:r>
        <w:rPr>
          <w:sz w:val="24"/>
          <w:szCs w:val="24"/>
        </w:rPr>
        <w:fldChar w:fldCharType="end"/>
      </w:r>
      <w:r>
        <w:rPr>
          <w:sz w:val="24"/>
          <w:szCs w:val="24"/>
        </w:rPr>
        <w:instrText xml:space="preserve">" "" </w:instrText>
      </w:r>
      <w:r>
        <w:rPr>
          <w:sz w:val="24"/>
          <w:szCs w:val="24"/>
        </w:rPr>
        <w:fldChar w:fldCharType="separate"/>
      </w:r>
      <w:r>
        <w:rPr>
          <w:sz w:val="24"/>
          <w:szCs w:val="24"/>
        </w:rPr>
        <w:fldChar w:fldCharType="end"/>
      </w:r>
    </w:p>
    <w:p w:rsidR="004E13E4" w:rsidP="004F716E">
      <w:pPr>
        <w:spacing w:after="0" w:line="240" w:lineRule="auto"/>
        <w:contextualSpacing/>
        <w:rPr>
          <w:sz w:val="20"/>
          <w:szCs w:val="20"/>
        </w:rPr>
      </w:pPr>
      <w:r>
        <w:rPr>
          <w:sz w:val="20"/>
          <w:szCs w:val="20"/>
        </w:rPr>
        <w:fldChar w:fldCharType="begin"/>
      </w:r>
      <w:r>
        <w:rPr>
          <w:sz w:val="20"/>
          <w:szCs w:val="20"/>
        </w:rPr>
        <w:instrText xml:space="preserve"> IF "</w:instrText>
      </w:r>
      <w:r>
        <w:rPr>
          <w:rtl w:val="0"/>
        </w:rPr>
        <w:instrText>This one-day virtual course offers specialized training in women's health and pelvic reconstruction. Experts will provide updates on the management of Overactive Bladder, Stress Urinary Incontinence, Female Sexual Dysfunction, Hormonal health, and Pelvic Organ Prolapse. Join us for advanced lessons and participate in live Q&amp;A discussions with expert faculty to bridge the gap between emerging research and daily clinical practice.</w:instrText>
      </w:r>
      <w:r>
        <w:rPr>
          <w:sz w:val="20"/>
          <w:szCs w:val="20"/>
        </w:rPr>
        <w:instrText>" &lt;&gt; "" "</w:instrText>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instrText>Purpose</w:instrText>
      </w:r>
    </w:p>
    <w:p w:rsidR="00B86886" w:rsidP="004F716E">
      <w:pPr>
        <w:spacing w:after="0" w:line="240" w:lineRule="auto"/>
        <w:contextualSpacing/>
        <w:rPr>
          <w:noProof/>
          <w:sz w:val="20"/>
          <w:szCs w:val="20"/>
        </w:rPr>
      </w:pPr>
      <w:r>
        <w:rPr>
          <w:rtl w:val="0"/>
        </w:rPr>
        <w:instrText>This one-day virtual course offers specialized training in women's health and pelvic reconstruction. Experts will provide updates on the management of Overactive Bladder, Stress Urinary Incontinence, Female Sexual Dysfunction, Hormonal health, and Pelvic Organ Prolapse. Join us for advanced lessons and participate in live Q&amp;A discussions with expert faculty to bridge the gap between emerging research and daily clinical practice.</w:instrText>
      </w:r>
      <w:r>
        <w:rPr>
          <w:sz w:val="20"/>
          <w:szCs w:val="20"/>
        </w:rPr>
        <w:instrText xml:space="preserve">" "" </w:instrText>
      </w:r>
      <w:r>
        <w:rPr>
          <w:sz w:val="20"/>
          <w:szCs w:val="20"/>
        </w:rPr>
        <w:fldChar w:fldCharType="separate"/>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t>Purpose</w:t>
      </w:r>
    </w:p>
    <w:p w:rsidR="004E13E4" w:rsidP="004F716E">
      <w:pPr>
        <w:spacing w:after="0" w:line="240" w:lineRule="auto"/>
        <w:contextualSpacing/>
        <w:rPr>
          <w:sz w:val="20"/>
          <w:szCs w:val="20"/>
        </w:rPr>
      </w:pPr>
      <w:r>
        <w:rPr>
          <w:rtl w:val="0"/>
        </w:rPr>
        <w:t>This one-day virtual course offers specialized training in women's health and pelvic reconstruction. Experts will provide updates on the management of Overactive Bladder, Stress Urinary Incontinence, Female Sexual Dysfunction, Hormonal health, and Pelvic Organ Prolapse. Join us for advanced lessons and participate in live Q&amp;A discussions with expert faculty to bridge the gap between emerging research and daily clinical practice.</w:t>
      </w:r>
      <w:r>
        <w:rPr>
          <w:sz w:val="20"/>
          <w:szCs w:val="20"/>
        </w:rPr>
        <w:fldChar w:fldCharType="end"/>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fldChar w:fldCharType="begin"/>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Urology</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Physician, Non-Physician, Allied Health Professional, Medical Student, Nurse, Nurse Practitioner, Physical Therapist, Physician Assistant, Resident Physician</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w:instrText>
      </w:r>
      <w:r w:rsidRPr="0042796F" w:rsidR="0042796F">
        <w:rPr>
          <w:rFonts w:cstheme="minorHAnsi"/>
          <w:sz w:val="20"/>
          <w:szCs w:val="20"/>
        </w:rPr>
        <w:fldChar w:fldCharType="separate"/>
      </w:r>
      <w:r w:rsidRPr="0042796F" w:rsidR="0042796F">
        <w:rPr>
          <w:rFonts w:cstheme="minorHAnsi"/>
          <w:sz w:val="20"/>
          <w:szCs w:val="20"/>
        </w:rPr>
        <w:instrText>2</w:instrText>
      </w:r>
      <w:r w:rsidRPr="0042796F" w:rsidR="0042796F">
        <w:rPr>
          <w:rFonts w:cstheme="minorHAnsi"/>
          <w:sz w:val="20"/>
          <w:szCs w:val="20"/>
        </w:rPr>
        <w:fldChar w:fldCharType="end"/>
      </w:r>
      <w:r w:rsidRPr="0042796F" w:rsidR="0042796F">
        <w:rPr>
          <w:rFonts w:cstheme="minorHAnsi"/>
          <w:sz w:val="20"/>
          <w:szCs w:val="20"/>
        </w:rPr>
        <w:instrText xml:space="preserve"> &gt; 0 "</w:instrText>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instrText>Target Audience</w:instrText>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Urology</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Specialties – </w:instrText>
      </w:r>
      <w:r w:rsidRPr="0042796F">
        <w:rPr>
          <w:rFonts w:cstheme="minorHAnsi"/>
          <w:sz w:val="24"/>
          <w:szCs w:val="24"/>
        </w:rPr>
        <w:instrText>Urology</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Specialties – </w:instrText>
      </w:r>
      <w:r w:rsidRPr="0042796F">
        <w:rPr>
          <w:rFonts w:cstheme="minorHAnsi"/>
          <w:sz w:val="24"/>
          <w:szCs w:val="24"/>
        </w:rPr>
        <w:instrText>Urology</w:instrText>
      </w:r>
      <w:r w:rsidRPr="0042796F">
        <w:rPr>
          <w:rFonts w:cstheme="minorHAnsi"/>
          <w:sz w:val="24"/>
          <w:szCs w:val="24"/>
        </w:rPr>
        <w:fldChar w:fldCharType="end"/>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Physician, Non-Physician, Allied Health Professional, Medical Student, Nurse, Nurse Practitioner, Physical Therapist, Physician Assistant, Resident Physician</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Professions – </w:instrText>
      </w:r>
      <w:r w:rsidRPr="0042796F">
        <w:rPr>
          <w:rFonts w:cstheme="minorHAnsi"/>
          <w:sz w:val="24"/>
          <w:szCs w:val="24"/>
        </w:rPr>
        <w:instrText>Physician, Non-Physician, Allied Health Professional, Medical Student, Nurse, Nurse Practitioner, Physical Therapist, Physician Assistant, Resident Physician</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Professions – </w:instrText>
      </w:r>
      <w:r w:rsidRPr="0042796F">
        <w:rPr>
          <w:rFonts w:cstheme="minorHAnsi"/>
          <w:sz w:val="24"/>
          <w:szCs w:val="24"/>
        </w:rPr>
        <w:instrText>Physician, Non-Physician, Allied Health Professional, Medical Student, Nurse, Nurse Practitioner, Physical Therapist, Physician Assistant, Resident Physician</w:instrText>
      </w:r>
      <w:r w:rsidRPr="0042796F">
        <w:rPr>
          <w:rFonts w:cstheme="minorHAnsi"/>
          <w:sz w:val="24"/>
          <w:szCs w:val="24"/>
        </w:rPr>
        <w:fldChar w:fldCharType="end"/>
      </w:r>
      <w:r w:rsidRPr="0042796F">
        <w:rPr>
          <w:rFonts w:cstheme="minorHAnsi"/>
          <w:sz w:val="20"/>
          <w:szCs w:val="20"/>
        </w:rPr>
        <w:instrText xml:space="preserve">" "" </w:instrText>
      </w:r>
      <w:r w:rsidRPr="0042796F">
        <w:rPr>
          <w:rFonts w:cstheme="minorHAnsi"/>
          <w:sz w:val="20"/>
          <w:szCs w:val="20"/>
        </w:rPr>
        <w:fldChar w:fldCharType="separate"/>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t>Target Audience</w:t>
      </w:r>
    </w:p>
    <w:p w:rsidR="0042796F" w:rsidRPr="0042796F" w:rsidP="0042796F">
      <w:pPr>
        <w:spacing w:after="0" w:line="240" w:lineRule="auto"/>
        <w:contextualSpacing/>
        <w:rPr>
          <w:rFonts w:cstheme="minorHAnsi"/>
          <w:sz w:val="24"/>
          <w:szCs w:val="24"/>
        </w:rPr>
      </w:pPr>
      <w:r w:rsidRPr="0042796F">
        <w:rPr>
          <w:rFonts w:cstheme="minorHAnsi"/>
          <w:sz w:val="24"/>
          <w:szCs w:val="24"/>
        </w:rPr>
        <w:t xml:space="preserve">Specialties – </w:t>
      </w:r>
      <w:r w:rsidRPr="0042796F">
        <w:rPr>
          <w:rFonts w:cstheme="minorHAnsi"/>
          <w:sz w:val="24"/>
          <w:szCs w:val="24"/>
        </w:rPr>
        <w:t>Urology</w:t>
      </w:r>
    </w:p>
    <w:p w:rsidR="0042796F" w:rsidRPr="0042796F" w:rsidP="0042796F">
      <w:pPr>
        <w:spacing w:after="0" w:line="240" w:lineRule="auto"/>
        <w:contextualSpacing/>
        <w:rPr>
          <w:rFonts w:cstheme="minorHAnsi"/>
          <w:sz w:val="20"/>
          <w:szCs w:val="20"/>
        </w:rPr>
      </w:pPr>
      <w:r w:rsidRPr="0042796F">
        <w:rPr>
          <w:rFonts w:cstheme="minorHAnsi"/>
          <w:sz w:val="24"/>
          <w:szCs w:val="24"/>
        </w:rPr>
        <w:t xml:space="preserve">Professions – </w:t>
      </w:r>
      <w:r w:rsidRPr="0042796F">
        <w:rPr>
          <w:rFonts w:cstheme="minorHAnsi"/>
          <w:sz w:val="24"/>
          <w:szCs w:val="24"/>
        </w:rPr>
        <w:t>Physician, Non-Physician, Allied Health Professional, Medical Student, Nurse, Nurse Practitioner, Physical Therapist, Physician Assistant, Resident Physician</w:t>
      </w:r>
      <w:r w:rsidRPr="0042796F">
        <w:rPr>
          <w:rFonts w:cstheme="minorHAnsi"/>
          <w:sz w:val="20"/>
          <w:szCs w:val="20"/>
        </w:rPr>
        <w:fldChar w:fldCharType="end"/>
      </w:r>
      <w:r w:rsidR="00467105">
        <w:rPr>
          <w:sz w:val="20"/>
          <w:szCs w:val="20"/>
        </w:rPr>
        <w:fldChar w:fldCharType="begin"/>
      </w:r>
      <w:r w:rsidR="00467105">
        <w:rPr>
          <w:sz w:val="20"/>
          <w:szCs w:val="20"/>
        </w:rPr>
        <w:instrText xml:space="preserve"> IF </w:instrText>
      </w:r>
      <w:r w:rsidR="00467105">
        <w:rPr>
          <w:sz w:val="20"/>
          <w:szCs w:val="20"/>
        </w:rPr>
        <w:instrText>"</w:instrText>
      </w:r>
      <w:r w:rsidR="00467105">
        <w:rPr>
          <w:sz w:val="20"/>
          <w:szCs w:val="20"/>
        </w:rPr>
        <w:instrText>1 Describe current neuromodulation techniques for overactive bladder, including sacral neuromodulation and tibial nerve stimulation.</w:instrText>
      </w:r>
    </w:p>
    <w:p w:rsidR="00467105" w:rsidP="0042796F">
      <w:pPr>
        <w:spacing w:after="0" w:line="240" w:lineRule="auto"/>
        <w:contextualSpacing/>
        <w:rPr>
          <w:sz w:val="20"/>
          <w:szCs w:val="20"/>
        </w:rPr>
      </w:pPr>
      <w:r>
        <w:rPr>
          <w:sz w:val="20"/>
          <w:szCs w:val="20"/>
        </w:rPr>
        <w:instrText>2 Evaluate patient selection criteria for botulinum toxin versus neuromodulation for OAB.</w:instrText>
      </w:r>
    </w:p>
    <w:p w:rsidR="00467105" w:rsidP="0042796F">
      <w:pPr>
        <w:spacing w:after="0" w:line="240" w:lineRule="auto"/>
        <w:contextualSpacing/>
        <w:rPr>
          <w:sz w:val="20"/>
          <w:szCs w:val="20"/>
        </w:rPr>
      </w:pPr>
      <w:r>
        <w:rPr>
          <w:sz w:val="20"/>
          <w:szCs w:val="20"/>
        </w:rPr>
        <w:instrText>3 Compare surgical approaches to stress urinary incontinence, including bulking agents, TVT, TOT, and mini-sling.</w:instrText>
      </w:r>
    </w:p>
    <w:p w:rsidR="00467105" w:rsidP="0042796F">
      <w:pPr>
        <w:spacing w:after="0" w:line="240" w:lineRule="auto"/>
        <w:contextualSpacing/>
        <w:rPr>
          <w:sz w:val="20"/>
          <w:szCs w:val="20"/>
        </w:rPr>
      </w:pPr>
      <w:r>
        <w:rPr>
          <w:sz w:val="20"/>
          <w:szCs w:val="20"/>
        </w:rPr>
        <w:instrText>4 Formulate a management strategy for persistent SUI after prior sling surgery.</w:instrText>
      </w:r>
    </w:p>
    <w:p w:rsidR="00467105" w:rsidP="0042796F">
      <w:pPr>
        <w:spacing w:after="0" w:line="240" w:lineRule="auto"/>
        <w:contextualSpacing/>
        <w:rPr>
          <w:sz w:val="20"/>
          <w:szCs w:val="20"/>
        </w:rPr>
      </w:pPr>
      <w:r>
        <w:rPr>
          <w:sz w:val="20"/>
          <w:szCs w:val="20"/>
        </w:rPr>
        <w:instrText>5 Identify and manage female sexual pain disorders including vestibulodynia, pudendal neuralgia, PGAD, and clitorodynia.</w:instrText>
      </w:r>
    </w:p>
    <w:p w:rsidR="00467105" w:rsidP="0042796F">
      <w:pPr>
        <w:spacing w:after="0" w:line="240" w:lineRule="auto"/>
        <w:contextualSpacing/>
        <w:rPr>
          <w:sz w:val="20"/>
          <w:szCs w:val="20"/>
        </w:rPr>
      </w:pPr>
      <w:r>
        <w:rPr>
          <w:sz w:val="20"/>
          <w:szCs w:val="20"/>
        </w:rPr>
        <w:instrText>6 Identify high-yield vulvar dermatopathologic diagnoses.</w:instrText>
      </w:r>
    </w:p>
    <w:p w:rsidR="00467105" w:rsidP="0042796F">
      <w:pPr>
        <w:spacing w:after="0" w:line="240" w:lineRule="auto"/>
        <w:contextualSpacing/>
        <w:rPr>
          <w:sz w:val="20"/>
          <w:szCs w:val="20"/>
        </w:rPr>
      </w:pPr>
      <w:r>
        <w:rPr>
          <w:sz w:val="20"/>
          <w:szCs w:val="20"/>
        </w:rPr>
        <w:instrText>7 Discuss hormonal management options for perimenopause and menopause, including systemic and local therapies.</w:instrText>
      </w:r>
    </w:p>
    <w:p w:rsidR="00467105" w:rsidP="0042796F">
      <w:pPr>
        <w:spacing w:after="0" w:line="240" w:lineRule="auto"/>
        <w:contextualSpacing/>
        <w:rPr>
          <w:sz w:val="20"/>
          <w:szCs w:val="20"/>
        </w:rPr>
      </w:pPr>
      <w:r>
        <w:rPr>
          <w:sz w:val="20"/>
          <w:szCs w:val="20"/>
        </w:rPr>
        <w:instrText>8 Compare hormonal and non-hormonal options for female libido concerns.</w:instrText>
      </w:r>
    </w:p>
    <w:p w:rsidR="00467105" w:rsidP="0042796F">
      <w:pPr>
        <w:spacing w:after="0" w:line="240" w:lineRule="auto"/>
        <w:contextualSpacing/>
        <w:rPr>
          <w:sz w:val="20"/>
          <w:szCs w:val="20"/>
        </w:rPr>
      </w:pPr>
      <w:r>
        <w:rPr>
          <w:sz w:val="20"/>
          <w:szCs w:val="20"/>
        </w:rPr>
        <w:instrText>9 Describe advanced robotic techniques for pelvic organ prolapse repair, including revision sacralcolpopexy.</w:instrText>
      </w:r>
    </w:p>
    <w:p w:rsidR="00467105" w:rsidP="0042796F">
      <w:pPr>
        <w:spacing w:after="0" w:line="240" w:lineRule="auto"/>
        <w:contextualSpacing/>
        <w:rPr>
          <w:sz w:val="20"/>
          <w:szCs w:val="20"/>
        </w:rPr>
      </w:pPr>
      <w:r>
        <w:rPr>
          <w:sz w:val="20"/>
          <w:szCs w:val="20"/>
        </w:rPr>
        <w:instrText>10 Compare current sacrospinous fixation devices and techniques.</w:instrText>
      </w:r>
      <w:r>
        <w:rPr>
          <w:sz w:val="20"/>
          <w:szCs w:val="20"/>
        </w:rPr>
        <w:instrText>"</w:instrText>
      </w:r>
      <w:r>
        <w:rPr>
          <w:sz w:val="20"/>
          <w:szCs w:val="20"/>
        </w:rPr>
        <w:instrText xml:space="preserve"> &lt;&gt; "" "</w:instrText>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instrText>Activity Objectives</w:instrText>
      </w:r>
    </w:p>
    <w:p w:rsidR="00B86886" w:rsidP="0042796F">
      <w:pPr>
        <w:spacing w:after="0" w:line="240" w:lineRule="auto"/>
        <w:contextualSpacing/>
        <w:rPr>
          <w:noProof/>
          <w:sz w:val="20"/>
          <w:szCs w:val="20"/>
        </w:rPr>
      </w:pPr>
      <w:r>
        <w:rPr>
          <w:sz w:val="24"/>
          <w:szCs w:val="24"/>
        </w:rPr>
        <w:instrText>1 Describe current neuromodulation techniques for overactive bladder, including sacral neuromodulation and tibial nerve stimulation.</w:instrText>
      </w:r>
    </w:p>
    <w:p w:rsidP="0042796F">
      <w:pPr>
        <w:spacing w:after="0" w:line="240" w:lineRule="auto"/>
        <w:contextualSpacing/>
        <w:rPr>
          <w:sz w:val="24"/>
          <w:szCs w:val="24"/>
        </w:rPr>
      </w:pPr>
      <w:r>
        <w:rPr>
          <w:sz w:val="24"/>
          <w:szCs w:val="24"/>
        </w:rPr>
        <w:instrText>2 Evaluate patient selection criteria for botulinum toxin versus neuromodulation for OAB.</w:instrText>
      </w:r>
    </w:p>
    <w:p w:rsidP="0042796F">
      <w:pPr>
        <w:spacing w:after="0" w:line="240" w:lineRule="auto"/>
        <w:contextualSpacing/>
        <w:rPr>
          <w:sz w:val="24"/>
          <w:szCs w:val="24"/>
        </w:rPr>
      </w:pPr>
      <w:r>
        <w:rPr>
          <w:sz w:val="24"/>
          <w:szCs w:val="24"/>
        </w:rPr>
        <w:instrText>3 Compare surgical approaches to stress urinary incontinence, including bulking agents, TVT, TOT, and mini-sling.</w:instrText>
      </w:r>
    </w:p>
    <w:p w:rsidP="0042796F">
      <w:pPr>
        <w:spacing w:after="0" w:line="240" w:lineRule="auto"/>
        <w:contextualSpacing/>
        <w:rPr>
          <w:sz w:val="24"/>
          <w:szCs w:val="24"/>
        </w:rPr>
      </w:pPr>
      <w:r>
        <w:rPr>
          <w:sz w:val="24"/>
          <w:szCs w:val="24"/>
        </w:rPr>
        <w:instrText>4 Formulate a management strategy for persistent SUI after prior sling surgery.</w:instrText>
      </w:r>
    </w:p>
    <w:p w:rsidP="0042796F">
      <w:pPr>
        <w:spacing w:after="0" w:line="240" w:lineRule="auto"/>
        <w:contextualSpacing/>
        <w:rPr>
          <w:sz w:val="24"/>
          <w:szCs w:val="24"/>
        </w:rPr>
      </w:pPr>
      <w:r>
        <w:rPr>
          <w:sz w:val="24"/>
          <w:szCs w:val="24"/>
        </w:rPr>
        <w:instrText>5 Identify and manage female sexual pain disorders including vestibulodynia, pudendal neuralgia, PGAD, and clitorodynia.</w:instrText>
      </w:r>
    </w:p>
    <w:p w:rsidP="0042796F">
      <w:pPr>
        <w:spacing w:after="0" w:line="240" w:lineRule="auto"/>
        <w:contextualSpacing/>
        <w:rPr>
          <w:sz w:val="24"/>
          <w:szCs w:val="24"/>
        </w:rPr>
      </w:pPr>
      <w:r>
        <w:rPr>
          <w:sz w:val="24"/>
          <w:szCs w:val="24"/>
        </w:rPr>
        <w:instrText>6 Identify high-yield vulvar dermatopathologic diagnoses.</w:instrText>
      </w:r>
    </w:p>
    <w:p w:rsidP="0042796F">
      <w:pPr>
        <w:spacing w:after="0" w:line="240" w:lineRule="auto"/>
        <w:contextualSpacing/>
        <w:rPr>
          <w:sz w:val="24"/>
          <w:szCs w:val="24"/>
        </w:rPr>
      </w:pPr>
      <w:r>
        <w:rPr>
          <w:sz w:val="24"/>
          <w:szCs w:val="24"/>
        </w:rPr>
        <w:instrText>7 Discuss hormonal management options for perimenopause and menopause, including systemic and local therapies.</w:instrText>
      </w:r>
    </w:p>
    <w:p w:rsidP="0042796F">
      <w:pPr>
        <w:spacing w:after="0" w:line="240" w:lineRule="auto"/>
        <w:contextualSpacing/>
        <w:rPr>
          <w:sz w:val="24"/>
          <w:szCs w:val="24"/>
        </w:rPr>
      </w:pPr>
      <w:r>
        <w:rPr>
          <w:sz w:val="24"/>
          <w:szCs w:val="24"/>
        </w:rPr>
        <w:instrText>8 Compare hormonal and non-hormonal options for female libido concerns.</w:instrText>
      </w:r>
    </w:p>
    <w:p w:rsidP="0042796F">
      <w:pPr>
        <w:spacing w:after="0" w:line="240" w:lineRule="auto"/>
        <w:contextualSpacing/>
        <w:rPr>
          <w:sz w:val="24"/>
          <w:szCs w:val="24"/>
        </w:rPr>
      </w:pPr>
      <w:r>
        <w:rPr>
          <w:sz w:val="24"/>
          <w:szCs w:val="24"/>
        </w:rPr>
        <w:instrText>9 Describe advanced robotic techniques for pelvic organ prolapse repair, including revision sacralcolpopexy.</w:instrText>
      </w:r>
    </w:p>
    <w:p w:rsidP="0042796F">
      <w:pPr>
        <w:spacing w:after="0" w:line="240" w:lineRule="auto"/>
        <w:contextualSpacing/>
        <w:rPr>
          <w:sz w:val="24"/>
          <w:szCs w:val="24"/>
        </w:rPr>
      </w:pPr>
      <w:r>
        <w:rPr>
          <w:sz w:val="24"/>
          <w:szCs w:val="24"/>
        </w:rPr>
        <w:instrText>10 Compare current sacrospinous fixation devices and techniques.</w:instrText>
      </w:r>
      <w:r w:rsidR="00467105">
        <w:rPr>
          <w:sz w:val="20"/>
          <w:szCs w:val="20"/>
        </w:rPr>
        <w:instrText xml:space="preserve">" "" </w:instrText>
      </w:r>
      <w:r w:rsidR="00467105">
        <w:rPr>
          <w:sz w:val="20"/>
          <w:szCs w:val="20"/>
        </w:rPr>
        <w:fldChar w:fldCharType="separate"/>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t>Activity Objectives</w:t>
      </w:r>
    </w:p>
    <w:p w:rsidR="00B86886" w:rsidP="0042796F">
      <w:pPr>
        <w:spacing w:after="0" w:line="240" w:lineRule="auto"/>
        <w:contextualSpacing/>
        <w:rPr>
          <w:noProof/>
          <w:sz w:val="20"/>
          <w:szCs w:val="20"/>
        </w:rPr>
      </w:pPr>
      <w:r>
        <w:rPr>
          <w:sz w:val="24"/>
          <w:szCs w:val="24"/>
        </w:rPr>
        <w:t>1 Describe current neuromodulation techniques for overactive bladder, including sacral neuromodulation and tibial nerve stimulation.</w:t>
      </w:r>
    </w:p>
    <w:p w:rsidP="0042796F">
      <w:pPr>
        <w:spacing w:after="0" w:line="240" w:lineRule="auto"/>
        <w:contextualSpacing/>
        <w:rPr>
          <w:sz w:val="24"/>
          <w:szCs w:val="24"/>
        </w:rPr>
      </w:pPr>
      <w:r>
        <w:rPr>
          <w:sz w:val="24"/>
          <w:szCs w:val="24"/>
        </w:rPr>
        <w:t>2 Evaluate patient selection criteria for botulinum toxin versus neuromodulation for OAB.</w:t>
      </w:r>
    </w:p>
    <w:p w:rsidP="0042796F">
      <w:pPr>
        <w:spacing w:after="0" w:line="240" w:lineRule="auto"/>
        <w:contextualSpacing/>
        <w:rPr>
          <w:sz w:val="24"/>
          <w:szCs w:val="24"/>
        </w:rPr>
      </w:pPr>
      <w:r>
        <w:rPr>
          <w:sz w:val="24"/>
          <w:szCs w:val="24"/>
        </w:rPr>
        <w:t>3 Compare surgical approaches to stress urinary incontinence, including bulking agents, TVT, TOT, and mini-sling.</w:t>
      </w:r>
    </w:p>
    <w:p w:rsidP="0042796F">
      <w:pPr>
        <w:spacing w:after="0" w:line="240" w:lineRule="auto"/>
        <w:contextualSpacing/>
        <w:rPr>
          <w:sz w:val="24"/>
          <w:szCs w:val="24"/>
        </w:rPr>
      </w:pPr>
      <w:r>
        <w:rPr>
          <w:sz w:val="24"/>
          <w:szCs w:val="24"/>
        </w:rPr>
        <w:t>4 Formulate a management strategy for persistent SUI after prior sling surgery.</w:t>
      </w:r>
    </w:p>
    <w:p w:rsidP="0042796F">
      <w:pPr>
        <w:spacing w:after="0" w:line="240" w:lineRule="auto"/>
        <w:contextualSpacing/>
        <w:rPr>
          <w:sz w:val="24"/>
          <w:szCs w:val="24"/>
        </w:rPr>
      </w:pPr>
      <w:r>
        <w:rPr>
          <w:sz w:val="24"/>
          <w:szCs w:val="24"/>
        </w:rPr>
        <w:t>5 Identify and manage female sexual pain disorders including vestibulodynia, pudendal neuralgia, PGAD, and clitorodynia.</w:t>
      </w:r>
    </w:p>
    <w:p w:rsidP="0042796F">
      <w:pPr>
        <w:spacing w:after="0" w:line="240" w:lineRule="auto"/>
        <w:contextualSpacing/>
        <w:rPr>
          <w:sz w:val="24"/>
          <w:szCs w:val="24"/>
        </w:rPr>
      </w:pPr>
      <w:r>
        <w:rPr>
          <w:sz w:val="24"/>
          <w:szCs w:val="24"/>
        </w:rPr>
        <w:t>6 Identify high-yield vulvar dermatopathologic diagnoses.</w:t>
      </w:r>
    </w:p>
    <w:p w:rsidP="0042796F">
      <w:pPr>
        <w:spacing w:after="0" w:line="240" w:lineRule="auto"/>
        <w:contextualSpacing/>
        <w:rPr>
          <w:sz w:val="24"/>
          <w:szCs w:val="24"/>
        </w:rPr>
      </w:pPr>
      <w:r>
        <w:rPr>
          <w:sz w:val="24"/>
          <w:szCs w:val="24"/>
        </w:rPr>
        <w:t>7 Discuss hormonal management options for perimenopause and menopause, including systemic and local therapies.</w:t>
      </w:r>
    </w:p>
    <w:p w:rsidP="0042796F">
      <w:pPr>
        <w:spacing w:after="0" w:line="240" w:lineRule="auto"/>
        <w:contextualSpacing/>
        <w:rPr>
          <w:sz w:val="24"/>
          <w:szCs w:val="24"/>
        </w:rPr>
      </w:pPr>
      <w:r>
        <w:rPr>
          <w:sz w:val="24"/>
          <w:szCs w:val="24"/>
        </w:rPr>
        <w:t>8 Compare hormonal and non-hormonal options for female libido concerns.</w:t>
      </w:r>
    </w:p>
    <w:p w:rsidP="0042796F">
      <w:pPr>
        <w:spacing w:after="0" w:line="240" w:lineRule="auto"/>
        <w:contextualSpacing/>
        <w:rPr>
          <w:sz w:val="24"/>
          <w:szCs w:val="24"/>
        </w:rPr>
      </w:pPr>
      <w:r>
        <w:rPr>
          <w:sz w:val="24"/>
          <w:szCs w:val="24"/>
        </w:rPr>
        <w:t>9 Describe advanced robotic techniques for pelvic organ prolapse repair, including revision sacralcolpopexy.</w:t>
      </w:r>
    </w:p>
    <w:p w:rsidR="00467105" w:rsidP="0042796F">
      <w:pPr>
        <w:spacing w:after="0" w:line="240" w:lineRule="auto"/>
        <w:contextualSpacing/>
        <w:rPr>
          <w:sz w:val="20"/>
          <w:szCs w:val="20"/>
        </w:rPr>
      </w:pPr>
      <w:r>
        <w:rPr>
          <w:sz w:val="24"/>
          <w:szCs w:val="24"/>
        </w:rPr>
        <w:t>10 Compare current sacrospinous fixation devices and techniques.</w:t>
      </w:r>
      <w:r>
        <w:rPr>
          <w:sz w:val="20"/>
          <w:szCs w:val="20"/>
        </w:rPr>
        <w:fldChar w:fldCharType="end"/>
      </w:r>
    </w:p>
    <w:p w:rsidR="004F716E" w:rsidP="004F716E">
      <w:pPr>
        <w:spacing w:after="0" w:line="240" w:lineRule="auto"/>
        <w:contextualSpacing/>
        <w:rPr>
          <w:sz w:val="20"/>
          <w:szCs w:val="20"/>
        </w:rPr>
      </w:pPr>
    </w:p>
    <w:p w:rsidR="004F716E" w:rsidRPr="00CC147B" w:rsidP="004F716E">
      <w:pPr>
        <w:spacing w:after="0" w:line="240" w:lineRule="auto"/>
        <w:contextualSpacing/>
        <w:rPr>
          <w:b/>
          <w:bCs/>
          <w:sz w:val="24"/>
          <w:szCs w:val="24"/>
        </w:rPr>
      </w:pPr>
      <w:r>
        <w:rPr>
          <w:b/>
          <w:bCs/>
          <w:sz w:val="24"/>
          <w:szCs w:val="24"/>
        </w:rPr>
        <w:t>Accreditation Statement</w:t>
      </w:r>
    </w:p>
    <w:p w:rsidR="004F716E" w:rsidRPr="00CC147B" w:rsidP="004F716E">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sidRPr="00D46C0D" w:rsidR="00D46C0D">
        <w:rPr>
          <w:rFonts w:ascii="Aleo Light" w:hAnsi="Aleo Light"/>
          <w:color w:val="000000"/>
          <w:shd w:val="clear" w:color="auto" w:fill="FFFFFF"/>
        </w:rPr>
        <w:instrText xml:space="preserve"> </w:instrText>
      </w:r>
      <w:r w:rsidRPr="00D46C0D" w:rsid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sidR="002B69BD">
        <w:rPr>
          <w:sz w:val="24"/>
          <w:szCs w:val="24"/>
        </w:rPr>
        <w:fldChar w:fldCharType="begin"/>
      </w:r>
      <w:r w:rsidR="002B69BD">
        <w:rPr>
          <w:sz w:val="24"/>
          <w:szCs w:val="24"/>
        </w:rPr>
        <w:instrText xml:space="preserve"> MERGEFIELD JointProviderName \* MERGEFORMAT </w:instrText>
      </w:r>
      <w:r w:rsidR="002B69BD">
        <w:rPr>
          <w:sz w:val="24"/>
          <w:szCs w:val="24"/>
        </w:rPr>
        <w:fldChar w:fldCharType="separate"/>
      </w:r>
      <w:r w:rsidR="00B86886">
        <w:rPr>
          <w:noProof/>
          <w:sz w:val="24"/>
          <w:szCs w:val="24"/>
        </w:rPr>
        <w:instrText>«JointProviderName»</w:instrText>
      </w:r>
      <w:r w:rsidR="002B69BD">
        <w:rPr>
          <w:sz w:val="24"/>
          <w:szCs w:val="24"/>
        </w:rPr>
        <w:fldChar w:fldCharType="end"/>
      </w:r>
      <w:r w:rsidRPr="00D46C0D" w:rsid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CC147B">
        <w:rPr>
          <w:sz w:val="24"/>
          <w:szCs w:val="24"/>
        </w:rPr>
        <w:t>The University of California, Irvine School of Medicine is accredited by the Accreditation Council for Continuing Medical Education</w:t>
      </w:r>
      <w:r>
        <w:rPr>
          <w:sz w:val="24"/>
          <w:szCs w:val="24"/>
        </w:rPr>
        <w:fldChar w:fldCharType="end"/>
      </w:r>
      <w:r>
        <w:rPr>
          <w:sz w:val="24"/>
          <w:szCs w:val="24"/>
        </w:rPr>
        <w:t xml:space="preserve"> to provide continuing medical education for physicians.</w:t>
      </w:r>
    </w:p>
    <w:p w:rsidR="004F716E" w:rsidP="004F716E">
      <w:pPr>
        <w:spacing w:after="0" w:line="240" w:lineRule="auto"/>
        <w:contextualSpacing/>
        <w:rPr>
          <w:sz w:val="20"/>
          <w:szCs w:val="20"/>
        </w:rPr>
      </w:pPr>
    </w:p>
    <w:p w:rsidR="004F716E" w:rsidP="004F716E">
      <w:pPr>
        <w:spacing w:after="0" w:line="240" w:lineRule="auto"/>
        <w:contextualSpacing/>
        <w:rPr>
          <w:b/>
          <w:bCs/>
          <w:sz w:val="24"/>
          <w:szCs w:val="24"/>
        </w:rPr>
      </w:pPr>
      <w:r>
        <w:rPr>
          <w:b/>
          <w:bCs/>
          <w:sz w:val="24"/>
          <w:szCs w:val="24"/>
        </w:rPr>
        <w:t>Designation Statement</w:t>
      </w:r>
    </w:p>
    <w:p w:rsidR="00CC147B" w:rsidRPr="00CC147B" w:rsidP="004F716E">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w:instrText>
      </w:r>
      <w:r>
        <w:rPr>
          <w:sz w:val="24"/>
          <w:szCs w:val="24"/>
        </w:rPr>
        <w:instrText>"</w:instrText>
      </w:r>
      <w:r>
        <w:rPr>
          <w:sz w:val="24"/>
          <w:szCs w:val="24"/>
        </w:rPr>
        <w:instrText>Live Activity</w:instrText>
      </w:r>
      <w:r>
        <w:rPr>
          <w:sz w:val="24"/>
          <w:szCs w:val="24"/>
        </w:rPr>
        <w:instrText>"</w:instrText>
      </w:r>
      <w:r>
        <w:rPr>
          <w:sz w:val="24"/>
          <w:szCs w:val="24"/>
        </w:rPr>
        <w:instrText xml:space="preserve"> &lt;&gt; "" "</w:instrText>
      </w:r>
      <w:r>
        <w:rPr>
          <w:sz w:val="24"/>
          <w:szCs w:val="24"/>
        </w:rPr>
        <w:instrText>Live Activity</w:instrText>
      </w:r>
      <w:r>
        <w:rPr>
          <w:sz w:val="24"/>
          <w:szCs w:val="24"/>
        </w:rPr>
        <w:instrText xml:space="preserve">" "activity" </w:instrText>
      </w:r>
      <w:r>
        <w:rPr>
          <w:sz w:val="24"/>
          <w:szCs w:val="24"/>
        </w:rPr>
        <w:fldChar w:fldCharType="separate"/>
      </w:r>
      <w:r>
        <w:rPr>
          <w:sz w:val="24"/>
          <w:szCs w:val="24"/>
        </w:rPr>
        <w:t>Live Activity</w:t>
      </w:r>
      <w:r>
        <w:rPr>
          <w:sz w:val="24"/>
          <w:szCs w:val="24"/>
        </w:rPr>
        <w:fldChar w:fldCharType="end"/>
      </w:r>
      <w:r w:rsidRPr="00CC147B">
        <w:rPr>
          <w:sz w:val="24"/>
          <w:szCs w:val="24"/>
        </w:rPr>
        <w:t xml:space="preserve"> for a maximum of </w:t>
      </w:r>
      <w:r>
        <w:rPr>
          <w:sz w:val="24"/>
          <w:szCs w:val="24"/>
        </w:rPr>
        <w:t>5.75</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rsidR="004F716E" w:rsidP="004F716E">
      <w:pPr>
        <w:spacing w:after="0" w:line="240" w:lineRule="auto"/>
        <w:contextualSpacing/>
        <w:rPr>
          <w:sz w:val="20"/>
          <w:szCs w:val="20"/>
        </w:rPr>
      </w:pPr>
    </w:p>
    <w:p w:rsidR="00CC147B" w:rsidRPr="00CC147B" w:rsidP="00CC147B">
      <w:pPr>
        <w:spacing w:after="0" w:line="240" w:lineRule="auto"/>
        <w:contextualSpacing/>
        <w:rPr>
          <w:b/>
          <w:bCs/>
          <w:sz w:val="24"/>
          <w:szCs w:val="24"/>
        </w:rPr>
      </w:pPr>
      <w:r w:rsidRPr="00CC147B">
        <w:rPr>
          <w:b/>
          <w:bCs/>
          <w:sz w:val="24"/>
          <w:szCs w:val="24"/>
        </w:rPr>
        <w:t>California Assembly Bill 1195 and 241</w:t>
      </w:r>
    </w:p>
    <w:p w:rsidR="00B74E46" w:rsidRPr="00830DFB" w:rsidP="00B74E46">
      <w:pPr>
        <w:spacing w:after="0" w:line="240" w:lineRule="auto"/>
        <w:contextualSpacing/>
        <w:rPr>
          <w:sz w:val="24"/>
          <w:szCs w:val="24"/>
        </w:rPr>
      </w:pPr>
      <w:r w:rsidRPr="00CC147B">
        <w:rPr>
          <w:sz w:val="24"/>
          <w:szCs w:val="24"/>
        </w:rPr>
        <w:t xml:space="preserve">This activity </w:t>
      </w:r>
      <w:r w:rsidRPr="00CC147B">
        <w:rPr>
          <w:sz w:val="24"/>
          <w:szCs w:val="24"/>
        </w:rPr>
        <w:t>is in compliance with</w:t>
      </w:r>
      <w:r w:rsidRPr="00CC147B">
        <w:rPr>
          <w:sz w:val="24"/>
          <w:szCs w:val="24"/>
        </w:rPr>
        <w:t xml:space="preserve">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r>
        <w:fldChar w:fldCharType="begin"/>
      </w:r>
      <w:r>
        <w:instrText xml:space="preserve"> HYPERLINK "https://www.meded.uci.edu/CME/" </w:instrText>
      </w:r>
      <w:r>
        <w:fldChar w:fldCharType="separate"/>
      </w:r>
      <w:r w:rsidRPr="007312E1" w:rsidR="007312E1">
        <w:rPr>
          <w:rStyle w:val="Hyperlink"/>
          <w:sz w:val="24"/>
          <w:szCs w:val="24"/>
        </w:rPr>
        <w:t>https://www.meded.uci.edu/CME/</w:t>
      </w:r>
      <w:r>
        <w:fldChar w:fldCharType="end"/>
      </w:r>
      <w:r w:rsidR="007312E1">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xmlns:r="http://schemas.openxmlformats.org/officeDocument/2006/relationships" r:embed="rId4" cstate="hq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r>
        <w:fldChar w:fldCharType="begin"/>
      </w:r>
      <w:r>
        <w:instrText xml:space="preserve"> HYPERLINK "https://www.theaba.org/" </w:instrText>
      </w:r>
      <w:r>
        <w:fldChar w:fldCharType="separate"/>
      </w:r>
      <w:r w:rsidRPr="00554859">
        <w:rPr>
          <w:rStyle w:val="Hyperlink"/>
          <w:sz w:val="24"/>
          <w:szCs w:val="24"/>
        </w:rPr>
        <w:instrText>https://www.theaba.org/</w:instrText>
      </w:r>
      <w:r>
        <w:fldChar w:fldCharType="end"/>
      </w:r>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2336" behindDoc="0" locked="1" layoutInCell="1" allowOverlap="1">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xmlns:r="http://schemas.openxmlformats.org/officeDocument/2006/relationships" r:embed="rId5" cstate="hq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9264" behindDoc="0" locked="1" layoutInCell="1" allowOverlap="1">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xmlns:r="http://schemas.openxmlformats.org/officeDocument/2006/relationships" r:embed="rId6" cstate="hq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0288" behindDoc="0" locked="1" layoutInCell="1" allowOverlap="1">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xmlns:r="http://schemas.openxmlformats.org/officeDocument/2006/relationships" r:embed="rId7" cstate="hq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1312" behindDoc="0" locked="1" layoutInCell="1" allowOverlap="1">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xmlns:r="http://schemas.openxmlformats.org/officeDocument/2006/relationships" r:embed="rId8">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r>
        <w:fldChar w:fldCharType="begin"/>
      </w:r>
      <w:r>
        <w:instrText xml:space="preserve"> HYPERLINK "https://www.continuingcertification.org/" </w:instrText>
      </w:r>
      <w:r>
        <w:fldChar w:fldCharType="separate"/>
      </w:r>
      <w:r w:rsidRPr="000063DA">
        <w:rPr>
          <w:rStyle w:val="Hyperlink"/>
          <w:sz w:val="24"/>
          <w:szCs w:val="24"/>
        </w:rPr>
        <w:instrText>ABMS Continuing Certification Directory</w:instrText>
      </w:r>
      <w:r>
        <w:fldChar w:fldCharType="end"/>
      </w:r>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rsidR="00B74E46" w:rsidP="00B74E46">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rsidR="00B86886" w:rsidRPr="00EB5DB5" w:rsidP="00B86886">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sidRPr="00EB5DB5">
        <w:rPr>
          <w:sz w:val="24"/>
          <w:szCs w:val="24"/>
        </w:rPr>
        <w:fldChar w:fldCharType="begin"/>
      </w:r>
      <w:r w:rsidRPr="00EB5DB5">
        <w:rPr>
          <w:sz w:val="24"/>
          <w:szCs w:val="24"/>
        </w:rPr>
        <w:instrText xml:space="preserve"> IF </w:instrText>
      </w:r>
      <w:r w:rsidRPr="00EB5DB5">
        <w:rPr>
          <w:sz w:val="24"/>
          <w:szCs w:val="24"/>
        </w:rPr>
        <w:instrText>0.00</w:instrText>
      </w:r>
      <w:r w:rsidRPr="00EB5DB5">
        <w:rPr>
          <w:sz w:val="24"/>
          <w:szCs w:val="24"/>
        </w:rPr>
        <w:instrText xml:space="preserve"> &gt; 0 "</w:instrText>
      </w:r>
    </w:p>
    <w:p w:rsidR="00B86886" w:rsidRPr="00EB5DB5" w:rsidP="00B86886">
      <w:pPr>
        <w:spacing w:after="0" w:line="240" w:lineRule="auto"/>
        <w:contextualSpacing/>
        <w:rPr>
          <w:sz w:val="24"/>
          <w:szCs w:val="24"/>
        </w:rPr>
      </w:pPr>
    </w:p>
    <w:p w:rsidR="00B74E46" w:rsidRPr="000063DA" w:rsidP="00B86886">
      <w:pPr>
        <w:spacing w:after="0" w:line="240" w:lineRule="auto"/>
        <w:contextualSpacing/>
        <w:rPr>
          <w:sz w:val="24"/>
          <w:szCs w:val="24"/>
        </w:rPr>
      </w:pPr>
      <w:r w:rsidRPr="00EB5DB5">
        <w:rPr>
          <w:noProof/>
          <w:sz w:val="24"/>
          <w:szCs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731520" cy="804672"/>
            <wp:effectExtent l="0" t="0" r="5080" b="0"/>
            <wp:wrapSquare wrapText="right"/>
            <wp:docPr id="927103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03230" name="Picture 927103230"/>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731520" cy="804672"/>
                    </a:xfrm>
                    <a:prstGeom prst="rect">
                      <a:avLst/>
                    </a:prstGeom>
                  </pic:spPr>
                </pic:pic>
              </a:graphicData>
            </a:graphic>
          </wp:anchor>
        </w:drawing>
      </w:r>
      <w:r w:rsidRPr="00EB5DB5">
        <w:rPr>
          <w:sz w:val="24"/>
          <w:szCs w:val="24"/>
        </w:rPr>
        <w:instrText xml:space="preserve">Successful completion of this CME activity enables the learner to earn credit toward the CME of the American Board of Thoracic Surgery’s Continuing Education Certification program. It is the CME activity provider’s responsibility to submit learner completion information to ACCME for the purpose of granting ABTS credit." "" </w:instrText>
      </w:r>
      <w:r w:rsidRPr="00EB5DB5">
        <w:rPr>
          <w:sz w:val="24"/>
          <w:szCs w:val="24"/>
        </w:rPr>
        <w:fldChar w:fldCharType="separate"/>
      </w:r>
      <w:r w:rsidRPr="00EB5DB5">
        <w:rPr>
          <w:sz w:val="24"/>
          <w:szCs w:val="24"/>
        </w:rPr>
        <w:fldChar w:fldCharType="end"/>
      </w:r>
    </w:p>
    <w:p w:rsidR="004F716E" w:rsidP="00B74E46">
      <w:pPr>
        <w:spacing w:after="0" w:line="240" w:lineRule="auto"/>
        <w:contextualSpacing/>
        <w:rPr>
          <w:sz w:val="20"/>
          <w:szCs w:val="20"/>
        </w:rPr>
      </w:pPr>
    </w:p>
    <w:p w:rsidR="001420EC" w:rsidP="004F716E">
      <w:pPr>
        <w:spacing w:after="0" w:line="240" w:lineRule="auto"/>
        <w:contextualSpacing/>
        <w:rPr>
          <w:sz w:val="24"/>
          <w:szCs w:val="24"/>
        </w:rPr>
      </w:pPr>
      <w:r>
        <w:rPr>
          <w:b/>
          <w:bCs/>
          <w:sz w:val="24"/>
          <w:szCs w:val="24"/>
        </w:rPr>
        <w:t>Faculty &amp; Planner</w:t>
      </w:r>
      <w:r>
        <w:rPr>
          <w:b/>
          <w:bCs/>
          <w:sz w:val="24"/>
          <w:szCs w:val="24"/>
        </w:rPr>
        <w:t xml:space="preserve"> Disclosures</w:t>
      </w:r>
    </w:p>
    <w:p w:rsidR="001420EC" w:rsidP="004F716E">
      <w:pPr>
        <w:spacing w:after="0" w:line="240" w:lineRule="auto"/>
        <w:contextualSpacing/>
        <w:rPr>
          <w:sz w:val="24"/>
          <w:szCs w:val="24"/>
        </w:rPr>
      </w:pPr>
      <w:r w:rsidRPr="001420EC">
        <w:rPr>
          <w:sz w:val="24"/>
          <w:szCs w:val="24"/>
        </w:rPr>
        <w:t>University of California, Irvine School of Medicine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1420EC" w:rsidRPr="001420EC" w:rsidP="004F716E">
      <w:pPr>
        <w:spacing w:after="0" w:line="240" w:lineRule="auto"/>
        <w:contextualSpacing/>
        <w:rPr>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Corey R Babb, DO, FACOOG, IF, MSCP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Bureau-Astellas (Any division)|Consulting Fee-Organicare - 06/04/2026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Taylor Brueseke,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Olivia Chang, MD,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Alexis Chesrow,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Cipriani,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Carly Crowder,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Ty Erickson,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Paid consultant-Coloplast, Uromeme, Soranus, ARMS,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suzanne gilberg, MD, FACOG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Howard Goldman,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Fee-Medtronic (Any division)|Consulting Fee-Sumitomo Pharma|Consulting Fee-AbbVie (Any division)|Consulting Fee-minze|Consulting Fee-laborie|Consulting Fee-Boston Scientific Corporation - 06/04/2026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Irwin Goldstein,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Advisor-Endo Pharmaceuticals, Inc.|Speakers Bureau-Verity - 09/04/2025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Ly Hoang Roberts,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Lawrence Jenkins, MD, MBA,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Jill Krapf,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Stocks or stock options, excluding diversified mutual funds-Evvy|Advisor-AbbVie (Any division)|Independent Contractor (included contracted research)-Leo Pharmaceuticals |Advisor-Pelva Health|Honoraria-UpToDate - 07/07/2026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Catherine Matthews, MD, FACS, FACOG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Fee-Boston Scientific Corporation|Consulting Fee-Coloplast|Honoraria-Neomedic|Consulting Fee-Johnson &amp; Johnson|Grant or research support-Coloplast|Grant or research support-Boston Scientific Corporation - 06/08/2026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Andrea Murina,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Bureau-AbbVie (Any division)|Speakers Bureau-Amgen, Inc.|Speakers Bureau-Galderma (Any division)|Advisor-Leo Pharma|Speakers Bureau-Pfizer (Any division)|Speakers Bureau-Johnson &amp; Johnson|Speakers Bureau-Ortho Dermatologics|Speakers Bureau-UCB|Speakers Bureau-Novartis Corporation Pharmaceuticals - 06/10/2026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Sasha Orpilla-Advani,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Lucila Pavan,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Rachel Pope, MD,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Fee-Astellas (Any division)|Consulting Fee-Johnson &amp; Johnson|Consulting Fee-Bayer - 07/20/2026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Caroline Pukall, PhD, C.Psych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Sameena Rahman, MD, FACOG, MSCP, IF, Clinical Assistant Professor of OBGYN Northwestern Feinberg School of Medicine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Bureau-Dare Pharmaceuticals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Zhina Sadeghi,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MAURIZIO SERATI,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Suzette E Sutherland, MD, MS, FPMRS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Paid consultant-FemPulse|Paid consultant-BlueWind|Membership on Advisory Committees or Review Panels, Board Membership, etc.-WaterShed|Membership on Advisory Committees or Review Panels, Board Membership, etc.-Amber Tx|Paid consultant-Caldera - 07/06/2026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Kyra Terry,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Wendy Wolfman, MD, Director Weston and O'Born Centre Mature Women's Health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Advisor-Astellas (Any division)|Advisor-Bayer (Any division) - 06/28/2026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Alyssa Yee,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Jessica Yih,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- 03/31/2026</w:t>
            </w:r>
          </w:p>
        </w:tc>
      </w:tr>
    </w:tbl>
    <w:p w:rsidR="004F716E">
      <w:pPr>
        <w:bidi w:val="0"/>
        <w:spacing w:after="280" w:afterAutospacing="1"/>
        <w:rPr>
          <w:sz w:val="20"/>
          <w:szCs w:val="20"/>
        </w:rPr>
      </w:pP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Agenda</w:t>
      </w:r>
    </w:p>
    <w:p w:rsidR="004F716E" w:rsidRPr="00302AD4" w:rsidP="004F716E">
      <w:pPr>
        <w:spacing w:after="0" w:line="240" w:lineRule="auto"/>
        <w:contextualSpacing/>
        <w:rPr>
          <w:b/>
          <w:bCs/>
          <w:sz w:val="20"/>
          <w:szCs w:val="20"/>
        </w:rPr>
      </w:pPr>
      <w:r>
        <w:rPr>
          <w:b/>
          <w:bCs/>
          <w:sz w:val="20"/>
          <w:szCs w:val="20"/>
        </w:rPr>
        <w:t>[INSERT AGENDA HERE MANUALLY]</w:t>
      </w: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Acknowledgement of Commercial Support</w:t>
      </w:r>
    </w:p>
    <w:p w:rsidR="002858C0" w:rsidRPr="00302AD4">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Pr>
          <w:sz w:val="24"/>
          <w:szCs w:val="24"/>
        </w:rPr>
        <w:fldChar w:fldCharType="begin"/>
      </w:r>
      <w:r>
        <w:rPr>
          <w:sz w:val="24"/>
          <w:szCs w:val="24"/>
        </w:rPr>
        <w:instrText xml:space="preserve"> MERGEFIELD CommercialSupport </w:instrText>
      </w:r>
      <w:r>
        <w:rPr>
          <w:sz w:val="24"/>
          <w:szCs w:val="24"/>
        </w:rPr>
        <w:fldChar w:fldCharType="separate"/>
      </w:r>
      <w:r w:rsidR="00B86886">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Sect="004F7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o Light">
    <w:panose1 w:val="00000400000000000000"/>
    <w:charset w:val="4D"/>
    <w:family w:val="auto"/>
    <w:pitch w:val="variable"/>
    <w:sig w:usb0="00000007"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
    <w:name w:val="Unresolved Mention"/>
    <w:basedOn w:val="DefaultParagraphFont"/>
    <w:uiPriority w:val="99"/>
    <w:semiHidden/>
    <w:unhideWhenUsed/>
    <w:rsid w:val="0073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1368</Words>
  <Characters>8827</Characters>
  <Application>Microsoft Office Word</Application>
  <DocSecurity>0</DocSecurity>
  <Lines>226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Browne, Tyler</dc:creator>
  <cp:lastModifiedBy>Patil, Tejaswini</cp:lastModifiedBy>
  <cp:revision>3</cp:revision>
  <dcterms:created xsi:type="dcterms:W3CDTF">2025-05-02T13:50:00Z</dcterms:created>
  <dcterms:modified xsi:type="dcterms:W3CDTF">2026-07-17T18:00:00Z</dcterms:modified>
</cp:coreProperties>
</file>