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B86886">
        <w:rPr>
          <w:b/>
          <w:bCs/>
          <w:noProof/>
          <w:sz w:val="28"/>
          <w:szCs w:val="28"/>
        </w:rPr>
        <w:instrText>«ParentName»</w:instrText>
      </w:r>
      <w:r w:rsidRPr="00467105">
        <w:rPr>
          <w:b/>
          <w:bCs/>
          <w:sz w:val="28"/>
          <w:szCs w:val="28"/>
        </w:rPr>
        <w:fldChar w:fldCharType="end"/>
      </w:r>
    </w:p>
    <w:p w:rsidR="00B86886"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2026 Facial Rejuvenation and Aesthetics Conference</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2026 Facial Rejuvenation and Aesthetics Conference</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August 22, 2026</w:t>
      </w:r>
      <w:r>
        <w:rPr>
          <w:sz w:val="24"/>
          <w:szCs w:val="24"/>
        </w:rPr>
        <w:fldChar w:fldCharType="begin"/>
      </w:r>
      <w:r>
        <w:rPr>
          <w:sz w:val="24"/>
          <w:szCs w:val="24"/>
        </w:rPr>
        <w:instrText xml:space="preserve"> IF </w:instrText>
      </w:r>
      <w:r>
        <w:rPr>
          <w:sz w:val="24"/>
          <w:szCs w:val="24"/>
        </w:rPr>
        <w:instrText>"</w:instrText>
      </w:r>
      <w:r>
        <w:rPr>
          <w:sz w:val="24"/>
          <w:szCs w:val="24"/>
        </w:rPr>
        <w:instrText>8 22 2026</w:instrText>
      </w:r>
      <w:r>
        <w:rPr>
          <w:sz w:val="24"/>
          <w:szCs w:val="24"/>
        </w:rPr>
        <w:instrText>"</w:instrText>
      </w:r>
      <w:r>
        <w:rPr>
          <w:sz w:val="24"/>
          <w:szCs w:val="24"/>
        </w:rPr>
        <w:instrText xml:space="preserve"> &lt;&gt; </w:instrText>
      </w:r>
      <w:r>
        <w:rPr>
          <w:sz w:val="24"/>
          <w:szCs w:val="24"/>
        </w:rPr>
        <w:instrText>"</w:instrText>
      </w:r>
      <w:r>
        <w:rPr>
          <w:sz w:val="24"/>
          <w:szCs w:val="24"/>
        </w:rPr>
        <w:instrText>8 23 2026</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sidR="00B86886">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r>
        <w:rPr>
          <w:rtl w:val="0"/>
        </w:rPr>
        <w:instrText>This course is designed to provide a comprehensive, stepwise approach to facial rejuvenation, spanning the full spectrum from novice to expert. Foundational principles will be emphasized for those early in their experience, while advanced techniques and nuanced decision-making will be highlighted for the experienced surgeon. Special topics will include the use of injectables (neuromodulators and fillers), surgical rejuvenation procedures, energy-based devices, and adjunctive office-based interventions. Exhibitors will be in attendance to demonstrate the latest technologies and innovations relevant to both surgical and non-surgical facial rejuvenation.</w:instrText>
      </w: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B86886" w:rsidP="004F716E">
      <w:pPr>
        <w:spacing w:after="0" w:line="240" w:lineRule="auto"/>
        <w:contextualSpacing/>
        <w:rPr>
          <w:noProof/>
          <w:sz w:val="20"/>
          <w:szCs w:val="20"/>
        </w:rPr>
      </w:pPr>
      <w:r>
        <w:rPr>
          <w:rtl w:val="0"/>
        </w:rPr>
        <w:instrText>This course is designed to provide a comprehensive, stepwise approach to facial rejuvenation, spanning the full spectrum from novice to expert. Foundational principles will be emphasized for those early in their experience, while advanced techniques and nuanced decision-making will be highlighted for the experienced surgeon. Special topics will include the use of injectables (neuromodulators and fillers), surgical rejuvenation procedures, energy-based devices, and adjunctive office-based interventions. Exhibitors will be in attendance to demonstrate the latest technologies and innovations relevant to both surgical and non-surgical facial rejuvenation.</w:instrText>
      </w: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4E13E4" w:rsidP="004F716E">
      <w:pPr>
        <w:spacing w:after="0" w:line="240" w:lineRule="auto"/>
        <w:contextualSpacing/>
        <w:rPr>
          <w:sz w:val="20"/>
          <w:szCs w:val="20"/>
        </w:rPr>
      </w:pPr>
      <w:r>
        <w:rPr>
          <w:rtl w:val="0"/>
        </w:rPr>
        <w:t>This course is designed to provide a comprehensive, stepwise approach to facial rejuvenation, spanning the full spectrum from novice to expert. Foundational principles will be emphasized for those early in their experience, while advanced techniques and nuanced decision-making will be highlighted for the experienced surgeon. Special topics will include the use of injectables (neuromodulators and fillers), surgical rejuvenation procedures, energy-based devices, and adjunctive office-based interventions. Exhibitors will be in attendance to demonstrate the latest technologies and innovations relevant to both surgical and non-surgical facial rejuvenation.</w:t>
      </w: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Dermatology, Otolaryngology - Head &amp; Neck Surgery, Plastic Surgery</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Physician, Allied Health Professional, Medical Assistant, Medical Student, Nurse, Nurse Practitioner, Physician Assistant, Resident Physician</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2</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Dermatology, Otolaryngology - Head &amp; Neck Surgery, Plastic Surgery</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Dermatology, Otolaryngology - Head &amp; Neck Surgery, Plastic Surgery</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Dermatology, Otolaryngology - Head &amp; Neck Surgery, Plastic Surgery</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Physician, Allied Health Professional, Medical Assistant, Medical Student, Nurse, Nurse Practitioner, Physician Assistant, Resident Physician</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instrText>Physician, Allied Health Professional, Medical Assistant, Medical Student, Nurse, Nurse Practitioner, Physician Assistant, Resident Physician</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Professions – </w:instrText>
      </w:r>
      <w:r w:rsidRPr="0042796F">
        <w:rPr>
          <w:rFonts w:cstheme="minorHAnsi"/>
          <w:sz w:val="24"/>
          <w:szCs w:val="24"/>
        </w:rPr>
        <w:instrText>Physician, Allied Health Professional, Medical Assistant, Medical Student, Nurse, Nurse Practitioner, Physician Assistant, Resident Physician</w:instrText>
      </w:r>
      <w:r w:rsidRPr="0042796F">
        <w:rPr>
          <w:rFonts w:cstheme="minorHAnsi"/>
          <w:sz w:val="24"/>
          <w:szCs w:val="24"/>
        </w:rPr>
        <w:fldChar w:fldCharType="end"/>
      </w:r>
      <w:r w:rsidRPr="0042796F">
        <w:rPr>
          <w:rFonts w:cstheme="minorHAnsi"/>
          <w:sz w:val="20"/>
          <w:szCs w:val="20"/>
        </w:rPr>
        <w:instrText xml:space="preserve">" "" </w:instrText>
      </w:r>
      <w:r w:rsidRP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Dermatology, Otolaryngology - Head &amp; Neck Surgery, Plastic Surgery</w:t>
      </w:r>
    </w:p>
    <w:p w:rsidR="0042796F" w:rsidRPr="0042796F" w:rsidP="0042796F">
      <w:pPr>
        <w:spacing w:after="0" w:line="240" w:lineRule="auto"/>
        <w:contextualSpacing/>
        <w:rPr>
          <w:rFonts w:cstheme="minorHAnsi"/>
          <w:sz w:val="20"/>
          <w:szCs w:val="20"/>
        </w:rPr>
      </w:pPr>
      <w:r w:rsidRPr="0042796F">
        <w:rPr>
          <w:rFonts w:cstheme="minorHAnsi"/>
          <w:sz w:val="24"/>
          <w:szCs w:val="24"/>
        </w:rPr>
        <w:t xml:space="preserve">Professions – </w:t>
      </w:r>
      <w:r w:rsidRPr="0042796F">
        <w:rPr>
          <w:rFonts w:cstheme="minorHAnsi"/>
          <w:sz w:val="24"/>
          <w:szCs w:val="24"/>
        </w:rPr>
        <w:t>Physician, Allied Health Professional, Medical Assistant, Medical Student, Nurse, Nurse Practitioner, Physician Assistant, Resident Physician</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Analyze facial anatomy, aging physiology, and aesthetic principles as they relate to facial rejuvenation, and apply this knowledge to develop individualized treatment plans that achieve natural, balanced, and patient-specific outcomes.</w:instrText>
      </w:r>
    </w:p>
    <w:p w:rsidR="00467105" w:rsidP="0042796F">
      <w:pPr>
        <w:spacing w:after="0" w:line="240" w:lineRule="auto"/>
        <w:contextualSpacing/>
        <w:rPr>
          <w:sz w:val="20"/>
          <w:szCs w:val="20"/>
        </w:rPr>
      </w:pPr>
      <w:r>
        <w:rPr>
          <w:sz w:val="20"/>
          <w:szCs w:val="20"/>
        </w:rPr>
        <w:instrText>2 Apply contemporary surgical and non-surgical facial rejuvenation techniques—including facelift, blepharoplasty, brow lift, facial contouring, injectables, and energy-based therapies—using stepwise procedural strategies and integrated, multimodal treatment approaches.</w:instrText>
      </w:r>
    </w:p>
    <w:p w:rsidR="00467105" w:rsidP="0042796F">
      <w:pPr>
        <w:spacing w:after="0" w:line="240" w:lineRule="auto"/>
        <w:contextualSpacing/>
        <w:rPr>
          <w:sz w:val="20"/>
          <w:szCs w:val="20"/>
        </w:rPr>
      </w:pPr>
      <w:r>
        <w:rPr>
          <w:sz w:val="20"/>
          <w:szCs w:val="20"/>
        </w:rPr>
        <w:instrText>3 Evaluate and manage routine and complex facial rejuvenation cases, including revision procedures, by integrating advanced clinical judgment, patient-specific factors, and patient-centered care principles to optimize outcomes.</w:instrText>
      </w: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B86886" w:rsidP="0042796F">
      <w:pPr>
        <w:spacing w:after="0" w:line="240" w:lineRule="auto"/>
        <w:contextualSpacing/>
        <w:rPr>
          <w:noProof/>
          <w:sz w:val="20"/>
          <w:szCs w:val="20"/>
        </w:rPr>
      </w:pPr>
      <w:r>
        <w:rPr>
          <w:sz w:val="24"/>
          <w:szCs w:val="24"/>
        </w:rPr>
        <w:instrText>1 Analyze facial anatomy, aging physiology, and aesthetic principles as they relate to facial rejuvenation, and apply this knowledge to develop individualized treatment plans that achieve natural, balanced, and patient-specific outcomes.</w:instrText>
      </w:r>
    </w:p>
    <w:p w:rsidP="0042796F">
      <w:pPr>
        <w:spacing w:after="0" w:line="240" w:lineRule="auto"/>
        <w:contextualSpacing/>
        <w:rPr>
          <w:sz w:val="24"/>
          <w:szCs w:val="24"/>
        </w:rPr>
      </w:pPr>
      <w:r>
        <w:rPr>
          <w:sz w:val="24"/>
          <w:szCs w:val="24"/>
        </w:rPr>
        <w:instrText>2 Apply contemporary surgical and non-surgical facial rejuvenation techniques—including facelift, blepharoplasty, brow lift, facial contouring, injectables, and energy-based therapies—using stepwise procedural strategies and integrated, multimodal treatment approaches.</w:instrText>
      </w:r>
    </w:p>
    <w:p w:rsidP="0042796F">
      <w:pPr>
        <w:spacing w:after="0" w:line="240" w:lineRule="auto"/>
        <w:contextualSpacing/>
        <w:rPr>
          <w:sz w:val="24"/>
          <w:szCs w:val="24"/>
        </w:rPr>
      </w:pPr>
      <w:r>
        <w:rPr>
          <w:sz w:val="24"/>
          <w:szCs w:val="24"/>
        </w:rPr>
        <w:instrText>3 Evaluate and manage routine and complex facial rejuvenation cases, including revision procedures, by integrating advanced clinical judgment, patient-specific factors, and patient-centered care principles to optimize outcomes.</w:instrText>
      </w: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B86886" w:rsidP="0042796F">
      <w:pPr>
        <w:spacing w:after="0" w:line="240" w:lineRule="auto"/>
        <w:contextualSpacing/>
        <w:rPr>
          <w:noProof/>
          <w:sz w:val="20"/>
          <w:szCs w:val="20"/>
        </w:rPr>
      </w:pPr>
      <w:r>
        <w:rPr>
          <w:sz w:val="24"/>
          <w:szCs w:val="24"/>
        </w:rPr>
        <w:t>1 Analyze facial anatomy, aging physiology, and aesthetic principles as they relate to facial rejuvenation, and apply this knowledge to develop individualized treatment plans that achieve natural, balanced, and patient-specific outcomes.</w:t>
      </w:r>
    </w:p>
    <w:p w:rsidP="0042796F">
      <w:pPr>
        <w:spacing w:after="0" w:line="240" w:lineRule="auto"/>
        <w:contextualSpacing/>
        <w:rPr>
          <w:sz w:val="24"/>
          <w:szCs w:val="24"/>
        </w:rPr>
      </w:pPr>
      <w:r>
        <w:rPr>
          <w:sz w:val="24"/>
          <w:szCs w:val="24"/>
        </w:rPr>
        <w:t>2 Apply contemporary surgical and non-surgical facial rejuvenation techniques—including facelift, blepharoplasty, brow lift, facial contouring, injectables, and energy-based therapies—using stepwise procedural strategies and integrated, multimodal treatment approaches.</w:t>
      </w:r>
    </w:p>
    <w:p w:rsidR="00467105" w:rsidP="0042796F">
      <w:pPr>
        <w:spacing w:after="0" w:line="240" w:lineRule="auto"/>
        <w:contextualSpacing/>
        <w:rPr>
          <w:sz w:val="20"/>
          <w:szCs w:val="20"/>
        </w:rPr>
      </w:pPr>
      <w:r>
        <w:rPr>
          <w:sz w:val="24"/>
          <w:szCs w:val="24"/>
        </w:rPr>
        <w:t>3 Evaluate and manage routine and complex facial rejuvenation cases, including revision procedures, by integrating advanced clinical judgment, patient-specific factors, and patient-centered care principles to optimize outcomes.</w:t>
      </w: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2B69BD">
        <w:rPr>
          <w:sz w:val="24"/>
          <w:szCs w:val="24"/>
        </w:rPr>
        <w:fldChar w:fldCharType="begin"/>
      </w:r>
      <w:r w:rsidR="002B69BD">
        <w:rPr>
          <w:sz w:val="24"/>
          <w:szCs w:val="24"/>
        </w:rPr>
        <w:instrText xml:space="preserve"> MERGEFIELD JointProviderName \* MERGEFORMAT </w:instrText>
      </w:r>
      <w:r w:rsidR="002B69BD">
        <w:rPr>
          <w:sz w:val="24"/>
          <w:szCs w:val="24"/>
        </w:rPr>
        <w:fldChar w:fldCharType="separate"/>
      </w:r>
      <w:r w:rsidR="00B86886">
        <w:rPr>
          <w:noProof/>
          <w:sz w:val="24"/>
          <w:szCs w:val="24"/>
        </w:rPr>
        <w:instrText>«JointProviderName»</w:instrText>
      </w:r>
      <w:r w:rsidR="002B69BD">
        <w:rPr>
          <w:sz w:val="24"/>
          <w:szCs w:val="24"/>
        </w:rPr>
        <w:fldChar w:fldCharType="end"/>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CC147B">
        <w:rPr>
          <w:sz w:val="24"/>
          <w:szCs w:val="24"/>
        </w:rPr>
        <w:t>The University of California, Irvine School of Medicine is accredited by the Accreditation Council for Continuing Medical Education</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Live Activity</w:instrText>
      </w:r>
      <w:r>
        <w:rPr>
          <w:sz w:val="24"/>
          <w:szCs w:val="24"/>
        </w:rPr>
        <w:instrText>"</w:instrText>
      </w:r>
      <w:r>
        <w:rPr>
          <w:sz w:val="24"/>
          <w:szCs w:val="24"/>
        </w:rPr>
        <w:instrText xml:space="preserve"> &lt;&gt; "" "</w:instrText>
      </w:r>
      <w:r>
        <w:rPr>
          <w:sz w:val="24"/>
          <w:szCs w:val="24"/>
        </w:rPr>
        <w:instrText>Live Activity</w:instrText>
      </w:r>
      <w:r>
        <w:rPr>
          <w:sz w:val="24"/>
          <w:szCs w:val="24"/>
        </w:rPr>
        <w:instrText xml:space="preserve">" "activity" </w:instrText>
      </w:r>
      <w:r>
        <w:rPr>
          <w:sz w:val="24"/>
          <w:szCs w:val="24"/>
        </w:rPr>
        <w:fldChar w:fldCharType="separate"/>
      </w:r>
      <w:r>
        <w:rPr>
          <w:sz w:val="24"/>
          <w:szCs w:val="24"/>
        </w:rPr>
        <w:t>Live Activity</w:t>
      </w:r>
      <w:r>
        <w:rPr>
          <w:sz w:val="24"/>
          <w:szCs w:val="24"/>
        </w:rPr>
        <w:fldChar w:fldCharType="end"/>
      </w:r>
      <w:r w:rsidRPr="00CC147B">
        <w:rPr>
          <w:sz w:val="24"/>
          <w:szCs w:val="24"/>
        </w:rPr>
        <w:t xml:space="preserve"> for a maximum of </w:t>
      </w:r>
      <w:r>
        <w:rPr>
          <w:sz w:val="24"/>
          <w:szCs w:val="24"/>
        </w:rPr>
        <w:t>16.00</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86886" w:rsidRPr="00EB5DB5" w:rsidP="00B8688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sidRPr="00EB5DB5">
        <w:rPr>
          <w:sz w:val="24"/>
          <w:szCs w:val="24"/>
        </w:rPr>
        <w:fldChar w:fldCharType="begin"/>
      </w:r>
      <w:r w:rsidRPr="00EB5DB5">
        <w:rPr>
          <w:sz w:val="24"/>
          <w:szCs w:val="24"/>
        </w:rPr>
        <w:instrText xml:space="preserve"> IF </w:instrText>
      </w:r>
      <w:r w:rsidRPr="00EB5DB5">
        <w:rPr>
          <w:sz w:val="24"/>
          <w:szCs w:val="24"/>
        </w:rPr>
        <w:instrText>0.00</w:instrText>
      </w:r>
      <w:r w:rsidRPr="00EB5DB5">
        <w:rPr>
          <w:sz w:val="24"/>
          <w:szCs w:val="24"/>
        </w:rPr>
        <w:instrText xml:space="preserve"> &gt; 0 "</w:instrText>
      </w:r>
    </w:p>
    <w:p w:rsidR="00B86886" w:rsidRPr="00EB5DB5" w:rsidP="00B86886">
      <w:pPr>
        <w:spacing w:after="0" w:line="240" w:lineRule="auto"/>
        <w:contextualSpacing/>
        <w:rPr>
          <w:sz w:val="24"/>
          <w:szCs w:val="24"/>
        </w:rPr>
      </w:pPr>
    </w:p>
    <w:p w:rsidR="00B74E46" w:rsidRPr="000063DA" w:rsidP="00B86886">
      <w:pPr>
        <w:spacing w:after="0" w:line="240" w:lineRule="auto"/>
        <w:contextualSpacing/>
        <w:rPr>
          <w:sz w:val="24"/>
          <w:szCs w:val="24"/>
        </w:rPr>
      </w:pPr>
      <w:r w:rsidRPr="00EB5DB5">
        <w:rPr>
          <w:noProof/>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31520" cy="804672"/>
            <wp:effectExtent l="0" t="0" r="5080" b="0"/>
            <wp:wrapSquare wrapText="right"/>
            <wp:docPr id="9271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03230" name="Picture 927103230"/>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731520" cy="804672"/>
                    </a:xfrm>
                    <a:prstGeom prst="rect">
                      <a:avLst/>
                    </a:prstGeom>
                  </pic:spPr>
                </pic:pic>
              </a:graphicData>
            </a:graphic>
          </wp:anchor>
        </w:drawing>
      </w:r>
      <w:r w:rsidRPr="00EB5DB5">
        <w:rPr>
          <w:sz w:val="24"/>
          <w:szCs w:val="24"/>
        </w:rPr>
        <w:instrText xml:space="preserve">Successful completion of this CME activity enables the learner to earn credit toward the CME of the American Board of Thoracic Surgery’s Continuing Education Certification program. It is the CME activity provider’s responsibility to submit learner completion information to ACCME for the purpose of granting ABTS credit." "" </w:instrText>
      </w:r>
      <w:r w:rsidRPr="00EB5DB5">
        <w:rPr>
          <w:sz w:val="24"/>
          <w:szCs w:val="24"/>
        </w:rPr>
        <w:fldChar w:fldCharType="separate"/>
      </w:r>
      <w:r w:rsidRPr="00EB5DB5">
        <w:rPr>
          <w:sz w:val="24"/>
          <w:szCs w:val="24"/>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Babak Azizzadeh,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Jacob Boeckmann,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Bryan Brandon,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Harry H Ching,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James Newman,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Grace L Peng, MD,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Rebecca Reynolds,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Rebecca Reynolds,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Jonathan Sykes,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Wong,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B86886">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1368</Words>
  <Characters>8827</Characters>
  <Application>Microsoft Office Word</Application>
  <DocSecurity>0</DocSecurity>
  <Lines>226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Patil, Tejaswini</cp:lastModifiedBy>
  <cp:revision>3</cp:revision>
  <dcterms:created xsi:type="dcterms:W3CDTF">2025-05-02T13:50:00Z</dcterms:created>
  <dcterms:modified xsi:type="dcterms:W3CDTF">2026-07-17T18:00:00Z</dcterms:modified>
</cp:coreProperties>
</file>