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67105" w:rsidP="004F716E">
      <w:pPr>
        <w:spacing w:after="0" w:line="240" w:lineRule="auto"/>
        <w:contextualSpacing/>
        <w:jc w:val="center"/>
        <w:rPr>
          <w:b/>
          <w:bCs/>
          <w:sz w:val="20"/>
          <w:szCs w:val="20"/>
        </w:rPr>
      </w:pPr>
      <w:bookmarkStart w:id="0" w:name="_Hlk135140857"/>
      <w:bookmarkEnd w:id="0"/>
      <w:r w:rsidRPr="00467105">
        <w:rPr>
          <w:b/>
          <w:bCs/>
          <w:sz w:val="20"/>
          <w:szCs w:val="20"/>
        </w:rPr>
        <w:fldChar w:fldCharType="begin"/>
      </w:r>
      <w:r w:rsidRPr="00467105">
        <w:rPr>
          <w:b/>
          <w:bCs/>
          <w:sz w:val="20"/>
          <w:szCs w:val="20"/>
        </w:rPr>
        <w:instrText xml:space="preserve"> IF </w:instrText>
      </w:r>
      <w:r w:rsidRPr="00467105">
        <w:rPr>
          <w:b/>
          <w:bCs/>
          <w:sz w:val="20"/>
          <w:szCs w:val="20"/>
        </w:rPr>
        <w:instrText>"</w:instrText>
      </w:r>
      <w:r w:rsidRPr="00467105">
        <w:rPr>
          <w:b/>
          <w:bCs/>
          <w:sz w:val="20"/>
          <w:szCs w:val="20"/>
        </w:rPr>
        <w:instrText>"</w:instrText>
      </w:r>
      <w:r w:rsidRPr="00467105">
        <w:rPr>
          <w:b/>
          <w:bCs/>
          <w:sz w:val="20"/>
          <w:szCs w:val="20"/>
        </w:rPr>
        <w:instrText xml:space="preserve"> &lt;&gt; "" "</w:instrText>
      </w:r>
      <w:r w:rsidRPr="00467105">
        <w:rPr>
          <w:b/>
          <w:bCs/>
          <w:sz w:val="28"/>
          <w:szCs w:val="28"/>
        </w:rPr>
        <w:fldChar w:fldCharType="begin"/>
      </w:r>
      <w:r w:rsidRPr="00467105">
        <w:rPr>
          <w:b/>
          <w:bCs/>
          <w:sz w:val="28"/>
          <w:szCs w:val="28"/>
        </w:rPr>
        <w:instrText xml:space="preserve"> MERGEFIELD ParentName </w:instrText>
      </w:r>
      <w:r w:rsidRPr="00467105">
        <w:rPr>
          <w:b/>
          <w:bCs/>
          <w:sz w:val="28"/>
          <w:szCs w:val="28"/>
        </w:rPr>
        <w:fldChar w:fldCharType="separate"/>
      </w:r>
      <w:r w:rsidR="00D46C0D">
        <w:rPr>
          <w:b/>
          <w:bCs/>
          <w:noProof/>
          <w:sz w:val="28"/>
          <w:szCs w:val="28"/>
        </w:rPr>
        <w:instrText>«ParentName»</w:instrText>
      </w:r>
      <w:r w:rsidRPr="00467105">
        <w:rPr>
          <w:b/>
          <w:bCs/>
          <w:sz w:val="28"/>
          <w:szCs w:val="28"/>
        </w:rPr>
        <w:fldChar w:fldCharType="end"/>
      </w:r>
    </w:p>
    <w:p w:rsidR="00D46C0D" w:rsidP="004F716E">
      <w:pPr>
        <w:spacing w:after="0" w:line="240" w:lineRule="auto"/>
        <w:contextualSpacing/>
        <w:jc w:val="center"/>
        <w:rPr>
          <w:b/>
          <w:bCs/>
          <w:noProof/>
          <w:sz w:val="20"/>
          <w:szCs w:val="20"/>
        </w:rPr>
      </w:pPr>
      <w:r>
        <w:rPr>
          <w:b/>
          <w:bCs/>
          <w:sz w:val="24"/>
          <w:szCs w:val="24"/>
        </w:rPr>
        <w:fldChar w:fldCharType="begin"/>
      </w:r>
      <w:r>
        <w:rPr>
          <w:b/>
          <w:bCs/>
          <w:sz w:val="24"/>
          <w:szCs w:val="24"/>
        </w:rPr>
        <w:instrText xml:space="preserve"> MERGEFIELD EventName </w:instrText>
      </w:r>
      <w:r>
        <w:rPr>
          <w:b/>
          <w:bCs/>
          <w:sz w:val="24"/>
          <w:szCs w:val="24"/>
        </w:rPr>
        <w:fldChar w:fldCharType="separate"/>
      </w:r>
      <w:r>
        <w:rPr>
          <w:b/>
          <w:bCs/>
          <w:noProof/>
          <w:sz w:val="24"/>
          <w:szCs w:val="24"/>
        </w:rPr>
        <w:instrText>«EventName»</w:instrText>
      </w:r>
      <w:r>
        <w:rPr>
          <w:b/>
          <w:bCs/>
          <w:sz w:val="24"/>
          <w:szCs w:val="24"/>
        </w:rPr>
        <w:fldChar w:fldCharType="end"/>
      </w:r>
      <w:r w:rsidRPr="00467105">
        <w:rPr>
          <w:b/>
          <w:bCs/>
          <w:sz w:val="20"/>
          <w:szCs w:val="20"/>
        </w:rPr>
        <w:instrText>" "</w:instrText>
      </w:r>
      <w:r w:rsidRPr="00467105">
        <w:rPr>
          <w:b/>
          <w:bCs/>
          <w:sz w:val="28"/>
          <w:szCs w:val="28"/>
        </w:rPr>
        <w:instrText>Psychiatry &amp; Psychotherapy Podcast Series: Episode 271-Rawlings–Thompson A-F Classification, Low Slow Titration &amp; Real-World Management</w:instrText>
      </w:r>
      <w:r w:rsidRPr="00467105">
        <w:rPr>
          <w:b/>
          <w:bCs/>
          <w:sz w:val="20"/>
          <w:szCs w:val="20"/>
        </w:rPr>
        <w:instrText>"</w:instrText>
      </w:r>
      <w:r w:rsidRPr="00467105" w:rsidR="004F716E">
        <w:rPr>
          <w:b/>
          <w:bCs/>
          <w:sz w:val="20"/>
          <w:szCs w:val="20"/>
        </w:rPr>
        <w:instrText xml:space="preserve"> </w:instrText>
      </w:r>
      <w:r w:rsidRPr="00467105" w:rsidR="004F716E">
        <w:rPr>
          <w:b/>
          <w:bCs/>
          <w:sz w:val="20"/>
          <w:szCs w:val="20"/>
        </w:rPr>
        <w:fldChar w:fldCharType="separate"/>
      </w:r>
      <w:r w:rsidRPr="00467105">
        <w:rPr>
          <w:b/>
          <w:bCs/>
          <w:sz w:val="28"/>
          <w:szCs w:val="28"/>
        </w:rPr>
        <w:t>Psychiatry &amp; Psychotherapy Podcast Series: Episode 271-Rawlings–Thompson A-F Classification, Low Slow Titration &amp; Real-World Management</w:t>
      </w:r>
      <w:r w:rsidRPr="00467105" w:rsidR="004F716E">
        <w:rPr>
          <w:b/>
          <w:bCs/>
          <w:sz w:val="20"/>
          <w:szCs w:val="20"/>
        </w:rPr>
        <w:fldChar w:fldCharType="end"/>
      </w:r>
    </w:p>
    <w:p w:rsidR="004F716E" w:rsidP="004F716E">
      <w:pPr>
        <w:spacing w:after="0" w:line="240" w:lineRule="auto"/>
        <w:contextualSpacing/>
        <w:rPr>
          <w:sz w:val="20"/>
          <w:szCs w:val="20"/>
        </w:rPr>
      </w:pPr>
    </w:p>
    <w:p w:rsidR="00467105" w:rsidRPr="00F73D88" w:rsidP="00467105">
      <w:pPr>
        <w:spacing w:after="0" w:line="240" w:lineRule="auto"/>
        <w:contextualSpacing/>
        <w:jc w:val="center"/>
        <w:rPr>
          <w:sz w:val="24"/>
          <w:szCs w:val="24"/>
        </w:rPr>
      </w:pPr>
      <w:r>
        <w:rPr>
          <w:sz w:val="24"/>
          <w:szCs w:val="24"/>
        </w:rPr>
        <w:t>July 13, 2026</w:t>
      </w:r>
      <w:r>
        <w:rPr>
          <w:sz w:val="24"/>
          <w:szCs w:val="24"/>
        </w:rPr>
        <w:fldChar w:fldCharType="begin"/>
      </w:r>
      <w:r>
        <w:rPr>
          <w:sz w:val="24"/>
          <w:szCs w:val="24"/>
        </w:rPr>
        <w:instrText xml:space="preserve"> IF </w:instrText>
      </w:r>
      <w:r>
        <w:rPr>
          <w:sz w:val="24"/>
          <w:szCs w:val="24"/>
        </w:rPr>
        <w:instrText>"</w:instrText>
      </w:r>
      <w:r>
        <w:rPr>
          <w:sz w:val="24"/>
          <w:szCs w:val="24"/>
        </w:rPr>
        <w:instrText>7 13 2026</w:instrText>
      </w:r>
      <w:r>
        <w:rPr>
          <w:sz w:val="24"/>
          <w:szCs w:val="24"/>
        </w:rPr>
        <w:instrText>"</w:instrText>
      </w:r>
      <w:r>
        <w:rPr>
          <w:sz w:val="24"/>
          <w:szCs w:val="24"/>
        </w:rPr>
        <w:instrText xml:space="preserve"> &lt;&gt; </w:instrText>
      </w:r>
      <w:r>
        <w:rPr>
          <w:sz w:val="24"/>
          <w:szCs w:val="24"/>
        </w:rPr>
        <w:instrText>"</w:instrText>
      </w:r>
      <w:r>
        <w:rPr>
          <w:sz w:val="24"/>
          <w:szCs w:val="24"/>
        </w:rPr>
        <w:instrText>7 12 2029</w:instrText>
      </w:r>
      <w:r>
        <w:rPr>
          <w:sz w:val="24"/>
          <w:szCs w:val="24"/>
        </w:rPr>
        <w:instrText>"</w:instrText>
      </w:r>
      <w:r>
        <w:rPr>
          <w:sz w:val="24"/>
          <w:szCs w:val="24"/>
        </w:rPr>
        <w:instrText xml:space="preserve"> "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EndTime \@ "MMMM d, yyyy" </w:instrText>
      </w:r>
      <w:r>
        <w:rPr>
          <w:sz w:val="24"/>
          <w:szCs w:val="24"/>
        </w:rPr>
        <w:fldChar w:fldCharType="separate"/>
      </w:r>
      <w:r w:rsidR="00D46C0D">
        <w:rPr>
          <w:noProof/>
          <w:sz w:val="24"/>
          <w:szCs w:val="24"/>
        </w:rPr>
        <w:instrText>«EndTime»</w:instrText>
      </w:r>
      <w:r>
        <w:rPr>
          <w:sz w:val="24"/>
          <w:szCs w:val="24"/>
        </w:rPr>
        <w:fldChar w:fldCharType="end"/>
      </w:r>
      <w:r>
        <w:rPr>
          <w:sz w:val="24"/>
          <w:szCs w:val="24"/>
        </w:rPr>
        <w:instrText xml:space="preserve">" "" </w:instrText>
      </w:r>
      <w:r>
        <w:rPr>
          <w:sz w:val="24"/>
          <w:szCs w:val="24"/>
        </w:rPr>
        <w:fldChar w:fldCharType="separate"/>
      </w:r>
      <w:r>
        <w:rPr>
          <w:sz w:val="24"/>
          <w:szCs w:val="24"/>
        </w:rPr>
        <w:fldChar w:fldCharType="end"/>
      </w:r>
    </w:p>
    <w:p w:rsidR="004E13E4" w:rsidP="004F716E">
      <w:pPr>
        <w:spacing w:after="0" w:line="240" w:lineRule="auto"/>
        <w:contextualSpacing/>
        <w:rPr>
          <w:sz w:val="20"/>
          <w:szCs w:val="20"/>
        </w:rPr>
      </w:pPr>
      <w:r>
        <w:rPr>
          <w:sz w:val="20"/>
          <w:szCs w:val="20"/>
        </w:rPr>
        <w:fldChar w:fldCharType="begin"/>
      </w:r>
      <w:r>
        <w:rPr>
          <w:sz w:val="20"/>
          <w:szCs w:val="20"/>
        </w:rPr>
        <w:instrText xml:space="preserve"> IF "</w:instrText>
      </w:r>
    </w:p>
    <w:p>
      <w:pPr>
        <w:bidi w:val="0"/>
        <w:spacing w:after="280" w:afterAutospacing="1"/>
        <w:rPr>
          <w:rtl w:val="0"/>
        </w:rPr>
      </w:pPr>
      <w:r>
        <w:rPr>
          <w:rtl w:val="0"/>
        </w:rPr>
        <w:instrText>Through clinical teaching, case vignettes, group discussion, and real-time cohort reflection, participants will learn to identify and understand defenses such as denial, splitting, projection, projective identification, dissociation, enactment, somatization, and more. Emphasis is placed on developmental origins, adaptive vs. maladaptive functions, and the impact of defenses on the therapeutic relationship, including countertransference.</w:instrText>
      </w:r>
    </w:p>
    <w:p>
      <w:pPr>
        <w:bidi w:val="0"/>
        <w:spacing w:after="280" w:afterAutospacing="1"/>
        <w:rPr>
          <w:rtl w:val="0"/>
        </w:rPr>
      </w:pPr>
      <w:r>
        <w:rPr>
          <w:rtl w:val="0"/>
        </w:rPr>
        <w:instrText>This course highlights practical clinical application while showcasing the collaborative learning and clinical insight of an advanced psychotherapy training group.</w:instrText>
      </w:r>
    </w:p>
    <w:p>
      <w:pPr>
        <w:bidi w:val="0"/>
        <w:spacing w:after="280" w:afterAutospacing="1"/>
        <w:rPr>
          <w:sz w:val="20"/>
          <w:szCs w:val="20"/>
        </w:rPr>
      </w:pPr>
      <w:r>
        <w:rPr>
          <w:sz w:val="20"/>
          <w:szCs w:val="20"/>
        </w:rPr>
        <w:instrText>" &lt;&gt; "" "</w:instrText>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instrText>Purpose</w:instrText>
      </w:r>
    </w:p>
    <w:p w:rsidR="00D46C0D">
      <w:pPr>
        <w:bidi w:val="0"/>
        <w:spacing w:after="280" w:afterAutospacing="1"/>
        <w:rPr>
          <w:noProof/>
          <w:sz w:val="20"/>
          <w:szCs w:val="20"/>
        </w:rPr>
      </w:pPr>
      <w:r>
        <w:rPr>
          <w:rtl w:val="0"/>
        </w:rPr>
        <w:instrText>Through clinical teaching, case vignettes, group discussion, and real-time cohort reflection, participants will learn to identify and understand defenses such as denial, splitting, projection, projective identification, dissociation, enactment, somatization, and more. Emphasis is placed on developmental origins, adaptive vs. maladaptive functions, and the impact of defenses on the therapeutic relationship, including countertransference.</w:instrText>
      </w:r>
    </w:p>
    <w:p>
      <w:pPr>
        <w:bidi w:val="0"/>
        <w:spacing w:after="280" w:afterAutospacing="1"/>
        <w:rPr>
          <w:rtl w:val="0"/>
        </w:rPr>
      </w:pPr>
      <w:r>
        <w:rPr>
          <w:rtl w:val="0"/>
        </w:rPr>
        <w:instrText>This course highlights practical clinical application while showcasing the collaborative learning and clinical insight of an advanced psychotherapy training group.</w:instrText>
      </w:r>
    </w:p>
    <w:p>
      <w:pPr>
        <w:bidi w:val="0"/>
        <w:spacing w:after="280" w:afterAutospacing="1"/>
        <w:rPr>
          <w:sz w:val="24"/>
          <w:szCs w:val="24"/>
        </w:rPr>
      </w:pPr>
      <w:r>
        <w:rPr>
          <w:sz w:val="20"/>
          <w:szCs w:val="20"/>
        </w:rPr>
        <w:instrText xml:space="preserve">" "" </w:instrText>
      </w:r>
      <w:r>
        <w:rPr>
          <w:sz w:val="20"/>
          <w:szCs w:val="20"/>
        </w:rPr>
        <w:fldChar w:fldCharType="separate"/>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t>Purpose</w:t>
      </w:r>
    </w:p>
    <w:p w:rsidR="00D46C0D">
      <w:pPr>
        <w:bidi w:val="0"/>
        <w:spacing w:after="280" w:afterAutospacing="1"/>
        <w:rPr>
          <w:noProof/>
          <w:sz w:val="20"/>
          <w:szCs w:val="20"/>
        </w:rPr>
      </w:pPr>
      <w:r>
        <w:rPr>
          <w:rtl w:val="0"/>
        </w:rPr>
        <w:t>Through clinical teaching, case vignettes, group discussion, and real-time cohort reflection, participants will learn to identify and understand defenses such as denial, splitting, projection, projective identification, dissociation, enactment, somatization, and more. Emphasis is placed on developmental origins, adaptive vs. maladaptive functions, and the impact of defenses on the therapeutic relationship, including countertransference.</w:t>
      </w:r>
    </w:p>
    <w:p>
      <w:pPr>
        <w:bidi w:val="0"/>
        <w:spacing w:after="280" w:afterAutospacing="1"/>
        <w:rPr>
          <w:rtl w:val="0"/>
        </w:rPr>
      </w:pPr>
      <w:r>
        <w:rPr>
          <w:rtl w:val="0"/>
        </w:rPr>
        <w:t>This course highlights practical clinical application while showcasing the collaborative learning and clinical insight of an advanced psychotherapy training group.</w:t>
      </w:r>
    </w:p>
    <w:p w:rsidR="004E13E4">
      <w:pPr>
        <w:bidi w:val="0"/>
        <w:spacing w:after="280" w:afterAutospacing="1"/>
        <w:rPr>
          <w:sz w:val="20"/>
          <w:szCs w:val="20"/>
        </w:rPr>
      </w:pPr>
      <w:r>
        <w:rPr>
          <w:sz w:val="20"/>
          <w:szCs w:val="20"/>
        </w:rPr>
        <w:fldChar w:fldCharType="end"/>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fldChar w:fldCharType="begin"/>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Family Medicine, Medicine, Psychiatry &amp; Human Behavior</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0</w:instrText>
      </w:r>
      <w:r w:rsidRPr="0042796F" w:rsidR="0042796F">
        <w:rPr>
          <w:rFonts w:cstheme="minorHAnsi"/>
          <w:sz w:val="20"/>
          <w:szCs w:val="20"/>
        </w:rPr>
        <w:fldChar w:fldCharType="end"/>
      </w:r>
      <w:r w:rsidRPr="0042796F" w:rsidR="0042796F">
        <w:rPr>
          <w:rFonts w:cstheme="minorHAnsi"/>
          <w:sz w:val="20"/>
          <w:szCs w:val="20"/>
        </w:rPr>
        <w:instrText xml:space="preserve">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&gt; 0 "</w:instrText>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instrText>Target Audience</w:instrText>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Family Medicine, Medicine, Psychiatry &amp; Human Behavior</w:instrText>
      </w:r>
      <w:r w:rsidRPr="0042796F">
        <w:rPr>
          <w:rFonts w:cstheme="minorHAnsi"/>
          <w:sz w:val="24"/>
          <w:szCs w:val="24"/>
        </w:rPr>
        <w:instrText>"</w:instrText>
      </w:r>
      <w:r w:rsidRPr="0042796F">
        <w:rPr>
          <w:rFonts w:cstheme="minorHAnsi"/>
          <w:sz w:val="24"/>
          <w:szCs w:val="24"/>
        </w:rPr>
        <w:instrText xml:space="preserve"> &lt;&gt; "" "</w:instrText>
      </w:r>
    </w:p>
    <w:p w:rsidR="00D46C0D"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Specialties – </w:instrText>
      </w:r>
      <w:r w:rsidRPr="0042796F">
        <w:rPr>
          <w:rFonts w:cstheme="minorHAnsi"/>
          <w:sz w:val="24"/>
          <w:szCs w:val="24"/>
        </w:rPr>
        <w:instrText>Family Medicine, Medicine, Psychiatry &amp; Human Behavior</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Specialties – </w:instrText>
      </w:r>
      <w:r w:rsidRPr="0042796F">
        <w:rPr>
          <w:rFonts w:cstheme="minorHAnsi"/>
          <w:sz w:val="24"/>
          <w:szCs w:val="24"/>
        </w:rPr>
        <w:instrText>Family Medicine, Medicine, Psychiatry &amp; Human Behavior</w:instrText>
      </w:r>
      <w:r w:rsidRPr="0042796F">
        <w:rPr>
          <w:rFonts w:cstheme="minorHAnsi"/>
          <w:sz w:val="24"/>
          <w:szCs w:val="24"/>
        </w:rPr>
        <w:fldChar w:fldCharType="end"/>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w:instrText>
      </w:r>
      <w:r w:rsidRPr="0042796F">
        <w:rPr>
          <w:rFonts w:cstheme="minorHAnsi"/>
          <w:sz w:val="24"/>
          <w:szCs w:val="24"/>
        </w:rPr>
        <w:instrText xml:space="preserve"> &lt;&gt; "" "</w:instrText>
      </w:r>
    </w:p>
    <w:p w:rsidR="00D46C0D"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Professions – </w:instrText>
      </w:r>
      <w:r w:rsidRPr="0042796F">
        <w:rPr>
          <w:rFonts w:cstheme="minorHAnsi"/>
          <w:sz w:val="24"/>
          <w:szCs w:val="24"/>
        </w:rPr>
        <w:fldChar w:fldCharType="begin"/>
      </w:r>
      <w:r w:rsidRPr="0042796F">
        <w:rPr>
          <w:rFonts w:cstheme="minorHAnsi"/>
          <w:sz w:val="24"/>
          <w:szCs w:val="24"/>
        </w:rPr>
        <w:instrText xml:space="preserve"> MERGEFIELD TargetProfessions </w:instrText>
      </w:r>
      <w:r w:rsidRPr="0042796F">
        <w:rPr>
          <w:rFonts w:cstheme="minorHAnsi"/>
          <w:sz w:val="24"/>
          <w:szCs w:val="24"/>
        </w:rPr>
        <w:fldChar w:fldCharType="separate"/>
      </w:r>
      <w:r>
        <w:rPr>
          <w:rFonts w:cstheme="minorHAnsi"/>
          <w:noProof/>
          <w:sz w:val="24"/>
          <w:szCs w:val="24"/>
        </w:rPr>
        <w:instrText>«TargetProfessions»</w:instrText>
      </w:r>
      <w:r w:rsidRPr="0042796F">
        <w:rPr>
          <w:rFonts w:cstheme="minorHAnsi"/>
          <w:sz w:val="24"/>
          <w:szCs w:val="24"/>
        </w:rPr>
        <w:fldChar w:fldCharType="end"/>
      </w:r>
      <w:r w:rsidRPr="0042796F">
        <w:rPr>
          <w:rFonts w:cstheme="minorHAnsi"/>
          <w:sz w:val="24"/>
          <w:szCs w:val="24"/>
        </w:rPr>
        <w:instrText xml:space="preserve">" "" </w:instrText>
      </w:r>
      <w:r w:rsidRPr="0042796F">
        <w:rPr>
          <w:rFonts w:cstheme="minorHAnsi"/>
          <w:sz w:val="24"/>
          <w:szCs w:val="24"/>
        </w:rPr>
        <w:fldChar w:fldCharType="separate"/>
      </w:r>
      <w:r w:rsidRPr="0042796F" w:rsidR="0042796F">
        <w:rPr>
          <w:rFonts w:cstheme="minorHAnsi"/>
          <w:sz w:val="24"/>
          <w:szCs w:val="24"/>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separate"/>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t>Target Audience</w:t>
      </w:r>
    </w:p>
    <w:p w:rsidR="0042796F" w:rsidRPr="0042796F" w:rsidP="0042796F">
      <w:pPr>
        <w:spacing w:after="0" w:line="240" w:lineRule="auto"/>
        <w:contextualSpacing/>
        <w:rPr>
          <w:rFonts w:cstheme="minorHAnsi"/>
          <w:sz w:val="24"/>
          <w:szCs w:val="24"/>
        </w:rPr>
      </w:pPr>
      <w:r w:rsidRPr="0042796F">
        <w:rPr>
          <w:rFonts w:cstheme="minorHAnsi"/>
          <w:sz w:val="24"/>
          <w:szCs w:val="24"/>
        </w:rPr>
        <w:t xml:space="preserve">Specialties – </w:t>
      </w:r>
      <w:r w:rsidRPr="0042796F">
        <w:rPr>
          <w:rFonts w:cstheme="minorHAnsi"/>
          <w:sz w:val="24"/>
          <w:szCs w:val="24"/>
        </w:rPr>
        <w:t>Family Medicine, Medicine, Psychiatry &amp; Human Behavior</w:t>
      </w:r>
      <w:r w:rsidRPr="0042796F">
        <w:rPr>
          <w:rFonts w:cstheme="minorHAnsi"/>
          <w:sz w:val="20"/>
          <w:szCs w:val="20"/>
        </w:rPr>
        <w:fldChar w:fldCharType="end"/>
      </w:r>
      <w:r w:rsidR="00467105">
        <w:rPr>
          <w:sz w:val="20"/>
          <w:szCs w:val="20"/>
        </w:rPr>
        <w:fldChar w:fldCharType="begin"/>
      </w:r>
      <w:r w:rsidR="00467105">
        <w:rPr>
          <w:sz w:val="20"/>
          <w:szCs w:val="20"/>
        </w:rPr>
        <w:instrText xml:space="preserve"> IF </w:instrText>
      </w:r>
      <w:r w:rsidR="00467105">
        <w:rPr>
          <w:sz w:val="20"/>
          <w:szCs w:val="20"/>
        </w:rPr>
        <w:instrText>"</w:instrText>
      </w:r>
      <w:r w:rsidR="00467105">
        <w:rPr>
          <w:sz w:val="20"/>
          <w:szCs w:val="20"/>
        </w:rPr>
        <w:instrText>1 Develop a structured, trial-based approach to prescribing psychotropics while proactively identifying, categorizing, and mitigating adverse effects</w:instrText>
      </w:r>
    </w:p>
    <w:p w:rsidR="00467105" w:rsidP="0042796F">
      <w:pPr>
        <w:spacing w:after="0" w:line="240" w:lineRule="auto"/>
        <w:contextualSpacing/>
        <w:rPr>
          <w:sz w:val="20"/>
          <w:szCs w:val="20"/>
        </w:rPr>
      </w:pPr>
      <w:r>
        <w:rPr>
          <w:sz w:val="20"/>
          <w:szCs w:val="20"/>
        </w:rPr>
        <w:instrText>2 Apply practical pharmacologic principles to manage common and challenging side-effect categories</w:instrText>
      </w:r>
    </w:p>
    <w:p w:rsidR="00467105" w:rsidP="0042796F">
      <w:pPr>
        <w:spacing w:after="0" w:line="240" w:lineRule="auto"/>
        <w:contextualSpacing/>
        <w:rPr>
          <w:sz w:val="20"/>
          <w:szCs w:val="20"/>
        </w:rPr>
      </w:pPr>
      <w:r>
        <w:rPr>
          <w:sz w:val="20"/>
          <w:szCs w:val="20"/>
        </w:rPr>
        <w:instrText>3 Integrate diagnostic re-evaluation and ethical prescribing principles when treatment fails or side effects arise</w:instrText>
      </w:r>
      <w:r>
        <w:rPr>
          <w:sz w:val="20"/>
          <w:szCs w:val="20"/>
        </w:rPr>
        <w:instrText>"</w:instrText>
      </w:r>
      <w:r>
        <w:rPr>
          <w:sz w:val="20"/>
          <w:szCs w:val="20"/>
        </w:rPr>
        <w:instrText xml:space="preserve"> &lt;&gt; "" "</w:instrText>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instrText>Activity Objectives</w:instrText>
      </w:r>
    </w:p>
    <w:p w:rsidR="00D46C0D" w:rsidP="0042796F">
      <w:pPr>
        <w:spacing w:after="0" w:line="240" w:lineRule="auto"/>
        <w:contextualSpacing/>
        <w:rPr>
          <w:noProof/>
          <w:sz w:val="20"/>
          <w:szCs w:val="20"/>
        </w:rPr>
      </w:pPr>
      <w:r>
        <w:rPr>
          <w:sz w:val="24"/>
          <w:szCs w:val="24"/>
        </w:rPr>
        <w:instrText>1 Develop a structured, trial-based approach to prescribing psychotropics while proactively identifying, categorizing, and mitigating adverse effects</w:instrText>
      </w:r>
    </w:p>
    <w:p w:rsidP="0042796F">
      <w:pPr>
        <w:spacing w:after="0" w:line="240" w:lineRule="auto"/>
        <w:contextualSpacing/>
        <w:rPr>
          <w:sz w:val="24"/>
          <w:szCs w:val="24"/>
        </w:rPr>
      </w:pPr>
      <w:r>
        <w:rPr>
          <w:sz w:val="24"/>
          <w:szCs w:val="24"/>
        </w:rPr>
        <w:instrText>2 Apply practical pharmacologic principles to manage common and challenging side-effect categories</w:instrText>
      </w:r>
    </w:p>
    <w:p w:rsidP="0042796F">
      <w:pPr>
        <w:spacing w:after="0" w:line="240" w:lineRule="auto"/>
        <w:contextualSpacing/>
        <w:rPr>
          <w:sz w:val="24"/>
          <w:szCs w:val="24"/>
        </w:rPr>
      </w:pPr>
      <w:r>
        <w:rPr>
          <w:sz w:val="24"/>
          <w:szCs w:val="24"/>
        </w:rPr>
        <w:instrText>3 Integrate diagnostic re-evaluation and ethical prescribing principles when treatment fails or side effects arise</w:instrText>
      </w:r>
      <w:r w:rsidR="00467105">
        <w:rPr>
          <w:sz w:val="20"/>
          <w:szCs w:val="20"/>
        </w:rPr>
        <w:instrText xml:space="preserve">" "" </w:instrText>
      </w:r>
      <w:r w:rsidR="00467105">
        <w:rPr>
          <w:sz w:val="20"/>
          <w:szCs w:val="20"/>
        </w:rPr>
        <w:fldChar w:fldCharType="separate"/>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t>Activity Objectives</w:t>
      </w:r>
    </w:p>
    <w:p w:rsidR="00D46C0D" w:rsidP="0042796F">
      <w:pPr>
        <w:spacing w:after="0" w:line="240" w:lineRule="auto"/>
        <w:contextualSpacing/>
        <w:rPr>
          <w:noProof/>
          <w:sz w:val="20"/>
          <w:szCs w:val="20"/>
        </w:rPr>
      </w:pPr>
      <w:r>
        <w:rPr>
          <w:sz w:val="24"/>
          <w:szCs w:val="24"/>
        </w:rPr>
        <w:t>1 Develop a structured, trial-based approach to prescribing psychotropics while proactively identifying, categorizing, and mitigating adverse effects</w:t>
      </w:r>
    </w:p>
    <w:p w:rsidP="0042796F">
      <w:pPr>
        <w:spacing w:after="0" w:line="240" w:lineRule="auto"/>
        <w:contextualSpacing/>
        <w:rPr>
          <w:sz w:val="24"/>
          <w:szCs w:val="24"/>
        </w:rPr>
      </w:pPr>
      <w:r>
        <w:rPr>
          <w:sz w:val="24"/>
          <w:szCs w:val="24"/>
        </w:rPr>
        <w:t>2 Apply practical pharmacologic principles to manage common and challenging side-effect categories</w:t>
      </w:r>
    </w:p>
    <w:p w:rsidR="00467105" w:rsidP="0042796F">
      <w:pPr>
        <w:spacing w:after="0" w:line="240" w:lineRule="auto"/>
        <w:contextualSpacing/>
        <w:rPr>
          <w:sz w:val="20"/>
          <w:szCs w:val="20"/>
        </w:rPr>
      </w:pPr>
      <w:r>
        <w:rPr>
          <w:sz w:val="24"/>
          <w:szCs w:val="24"/>
        </w:rPr>
        <w:t>3 Integrate diagnostic re-evaluation and ethical prescribing principles when treatment fails or side effects arise</w:t>
      </w:r>
      <w:r>
        <w:rPr>
          <w:sz w:val="20"/>
          <w:szCs w:val="20"/>
        </w:rPr>
        <w:fldChar w:fldCharType="end"/>
      </w:r>
    </w:p>
    <w:p w:rsidR="004F716E" w:rsidP="004F716E">
      <w:pPr>
        <w:spacing w:after="0" w:line="240" w:lineRule="auto"/>
        <w:contextualSpacing/>
        <w:rPr>
          <w:sz w:val="20"/>
          <w:szCs w:val="20"/>
        </w:rPr>
      </w:pPr>
    </w:p>
    <w:p w:rsidR="004F716E" w:rsidRPr="00CC147B" w:rsidP="004F716E">
      <w:pPr>
        <w:spacing w:after="0" w:line="240" w:lineRule="auto"/>
        <w:contextualSpacing/>
        <w:rPr>
          <w:b/>
          <w:bCs/>
          <w:sz w:val="24"/>
          <w:szCs w:val="24"/>
        </w:rPr>
      </w:pPr>
      <w:r>
        <w:rPr>
          <w:b/>
          <w:bCs/>
          <w:sz w:val="24"/>
          <w:szCs w:val="24"/>
        </w:rPr>
        <w:t>Accreditation Statement</w:t>
      </w:r>
    </w:p>
    <w:p w:rsidR="004F716E" w:rsidRPr="00CC147B" w:rsidP="004F716E">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Emotion Connection, LLC</w:instrText>
      </w:r>
      <w:r>
        <w:rPr>
          <w:sz w:val="24"/>
          <w:szCs w:val="24"/>
        </w:rPr>
        <w:instrText>"</w:instrText>
      </w:r>
      <w:r>
        <w:rPr>
          <w:sz w:val="24"/>
          <w:szCs w:val="24"/>
        </w:rPr>
        <w:instrText xml:space="preserve"> &lt;&gt; "" "</w:instrText>
      </w:r>
      <w:r w:rsidRPr="00D46C0D" w:rsidR="00D46C0D">
        <w:rPr>
          <w:rFonts w:ascii="Aleo Light" w:hAnsi="Aleo Light"/>
          <w:color w:val="000000"/>
          <w:shd w:val="clear" w:color="auto" w:fill="FFFFFF"/>
        </w:rPr>
        <w:instrText xml:space="preserve"> </w:instrText>
      </w:r>
      <w:r w:rsidRPr="00D46C0D" w:rsidR="00D46C0D">
        <w:rPr>
          <w:sz w:val="24"/>
          <w:szCs w:val="24"/>
        </w:rPr>
        <w:instrTex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instrText>
      </w:r>
      <w:r w:rsidR="002B69BD">
        <w:rPr>
          <w:noProof/>
          <w:sz w:val="24"/>
          <w:szCs w:val="24"/>
        </w:rPr>
        <w:instrText>Emotion Connection</w:instrText>
      </w:r>
      <w:r w:rsidR="002B69BD">
        <w:rPr>
          <w:sz w:val="24"/>
          <w:szCs w:val="24"/>
        </w:rPr>
        <w:instrText>, LLC</w:instrText>
      </w:r>
      <w:r w:rsidRPr="00D46C0D" w:rsidR="00D46C0D">
        <w:rPr>
          <w:sz w:val="24"/>
          <w:szCs w:val="24"/>
        </w:rPr>
        <w:instrText>.  The University of California, Irvine School of Medicine is accredited by the ACCME to provide continuing medical education for physicians.</w:instrText>
      </w:r>
      <w:r>
        <w:rPr>
          <w:sz w:val="24"/>
          <w:szCs w:val="24"/>
        </w:rPr>
        <w:instrText>" "</w:instrText>
      </w:r>
      <w:r w:rsidRPr="00CC147B">
        <w:rPr>
          <w:sz w:val="24"/>
          <w:szCs w:val="24"/>
        </w:rPr>
        <w:instrText>The University of California, Irvine School of Medicine is accredited by the Accreditation Council for Continuing Medical Education</w:instrText>
      </w:r>
      <w:r>
        <w:rPr>
          <w:sz w:val="24"/>
          <w:szCs w:val="24"/>
        </w:rPr>
        <w:instrText xml:space="preserve">" </w:instrText>
      </w:r>
      <w:r>
        <w:rPr>
          <w:sz w:val="24"/>
          <w:szCs w:val="24"/>
        </w:rPr>
        <w:fldChar w:fldCharType="separate"/>
      </w:r>
      <w:r w:rsidRPr="00D46C0D" w:rsidR="00D46C0D">
        <w:rPr>
          <w:rFonts w:ascii="Aleo Light" w:hAnsi="Aleo Light"/>
          <w:color w:val="000000"/>
          <w:shd w:val="clear" w:color="auto" w:fill="FFFFFF"/>
        </w:rPr>
        <w:t xml:space="preserve"> </w:t>
      </w:r>
      <w:r w:rsidRPr="00D46C0D" w:rsidR="00D46C0D">
        <w:rPr>
          <w:sz w:val="24"/>
          <w:szCs w:val="24"/>
        </w:rPr>
        <w: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t>
      </w:r>
      <w:r w:rsidR="002B69BD">
        <w:rPr>
          <w:noProof/>
          <w:sz w:val="24"/>
          <w:szCs w:val="24"/>
        </w:rPr>
        <w:t>Emotion Connection</w:t>
      </w:r>
      <w:r w:rsidR="002B69BD">
        <w:rPr>
          <w:sz w:val="24"/>
          <w:szCs w:val="24"/>
        </w:rPr>
        <w:t>, LLC</w:t>
      </w:r>
      <w:r w:rsidRPr="00D46C0D" w:rsidR="00D46C0D">
        <w:rPr>
          <w:sz w:val="24"/>
          <w:szCs w:val="24"/>
        </w:rPr>
        <w:t>.  The University of California, Irvine School of Medicine is accredited by the ACCME to provide continuing medical education for physicians.</w:t>
      </w:r>
      <w:r>
        <w:rPr>
          <w:sz w:val="24"/>
          <w:szCs w:val="24"/>
        </w:rPr>
        <w:fldChar w:fldCharType="end"/>
      </w:r>
      <w:r>
        <w:rPr>
          <w:sz w:val="24"/>
          <w:szCs w:val="24"/>
        </w:rPr>
        <w:t xml:space="preserve"> to provide continuing medical education for physicians.</w:t>
      </w:r>
    </w:p>
    <w:p w:rsidR="004F716E" w:rsidP="004F716E">
      <w:pPr>
        <w:spacing w:after="0" w:line="240" w:lineRule="auto"/>
        <w:contextualSpacing/>
        <w:rPr>
          <w:sz w:val="20"/>
          <w:szCs w:val="20"/>
        </w:rPr>
      </w:pPr>
    </w:p>
    <w:p w:rsidR="004F716E" w:rsidP="004F716E">
      <w:pPr>
        <w:spacing w:after="0" w:line="240" w:lineRule="auto"/>
        <w:contextualSpacing/>
        <w:rPr>
          <w:b/>
          <w:bCs/>
          <w:sz w:val="24"/>
          <w:szCs w:val="24"/>
        </w:rPr>
      </w:pPr>
      <w:r>
        <w:rPr>
          <w:b/>
          <w:bCs/>
          <w:sz w:val="24"/>
          <w:szCs w:val="24"/>
        </w:rPr>
        <w:t>Designation Statement</w:t>
      </w:r>
    </w:p>
    <w:p w:rsidR="00CC147B" w:rsidRPr="00CC147B" w:rsidP="004F716E">
      <w:pPr>
        <w:spacing w:after="0" w:line="240" w:lineRule="auto"/>
        <w:contextualSpacing/>
        <w:rPr>
          <w:sz w:val="24"/>
          <w:szCs w:val="24"/>
        </w:rPr>
      </w:pPr>
      <w:r w:rsidRPr="00CC147B">
        <w:rPr>
          <w:sz w:val="24"/>
          <w:szCs w:val="24"/>
        </w:rPr>
        <w:t xml:space="preserve">The University of California, Irvine School of Medicine designates this </w:t>
      </w:r>
      <w:r>
        <w:rPr>
          <w:sz w:val="24"/>
          <w:szCs w:val="24"/>
        </w:rPr>
        <w:fldChar w:fldCharType="begin"/>
      </w:r>
      <w:r>
        <w:rPr>
          <w:sz w:val="24"/>
          <w:szCs w:val="24"/>
        </w:rPr>
        <w:instrText xml:space="preserve"> IF </w:instrText>
      </w:r>
      <w:r>
        <w:rPr>
          <w:sz w:val="24"/>
          <w:szCs w:val="24"/>
        </w:rPr>
        <w:instrText>"</w:instrText>
      </w:r>
      <w:r>
        <w:rPr>
          <w:sz w:val="24"/>
          <w:szCs w:val="24"/>
        </w:rPr>
        <w:instrText>Enduring Material</w:instrText>
      </w:r>
      <w:r>
        <w:rPr>
          <w:sz w:val="24"/>
          <w:szCs w:val="24"/>
        </w:rPr>
        <w:instrText>"</w:instrText>
      </w:r>
      <w:r>
        <w:rPr>
          <w:sz w:val="24"/>
          <w:szCs w:val="24"/>
        </w:rPr>
        <w:instrText xml:space="preserve"> &lt;&gt; "" "</w:instrText>
      </w:r>
      <w:r>
        <w:rPr>
          <w:sz w:val="24"/>
          <w:szCs w:val="24"/>
        </w:rPr>
        <w:instrText>Enduring Material</w:instrText>
      </w:r>
      <w:r>
        <w:rPr>
          <w:sz w:val="24"/>
          <w:szCs w:val="24"/>
        </w:rPr>
        <w:instrText xml:space="preserve">" "activity" </w:instrText>
      </w:r>
      <w:r>
        <w:rPr>
          <w:sz w:val="24"/>
          <w:szCs w:val="24"/>
        </w:rPr>
        <w:fldChar w:fldCharType="separate"/>
      </w:r>
      <w:r>
        <w:rPr>
          <w:sz w:val="24"/>
          <w:szCs w:val="24"/>
        </w:rPr>
        <w:t>Enduring Material</w:t>
      </w:r>
      <w:r>
        <w:rPr>
          <w:sz w:val="24"/>
          <w:szCs w:val="24"/>
        </w:rPr>
        <w:fldChar w:fldCharType="end"/>
      </w:r>
      <w:r w:rsidRPr="00CC147B">
        <w:rPr>
          <w:sz w:val="24"/>
          <w:szCs w:val="24"/>
        </w:rPr>
        <w:t xml:space="preserve"> for a maximum of </w:t>
      </w:r>
      <w:r>
        <w:rPr>
          <w:sz w:val="24"/>
          <w:szCs w:val="24"/>
        </w:rPr>
        <w:t>1.25</w:t>
      </w:r>
      <w:r w:rsidRPr="00CC147B">
        <w:rPr>
          <w:sz w:val="24"/>
          <w:szCs w:val="24"/>
        </w:rPr>
        <w:t xml:space="preserve"> </w:t>
      </w:r>
      <w:r w:rsidRPr="00CC147B">
        <w:rPr>
          <w:i/>
          <w:iCs/>
          <w:sz w:val="24"/>
          <w:szCs w:val="24"/>
        </w:rPr>
        <w:t>AMA PRA Category 1 Credit(s)</w:t>
      </w:r>
      <w:r w:rsidRPr="00CC147B">
        <w:rPr>
          <w:sz w:val="24"/>
          <w:szCs w:val="24"/>
        </w:rPr>
        <w:t>™. Physicians should claim only the credit commensurate with the extent of their participation in the activity.</w:t>
      </w:r>
    </w:p>
    <w:p w:rsidR="004F716E" w:rsidP="004F716E">
      <w:pPr>
        <w:spacing w:after="0" w:line="240" w:lineRule="auto"/>
        <w:contextualSpacing/>
        <w:rPr>
          <w:sz w:val="20"/>
          <w:szCs w:val="20"/>
        </w:rPr>
      </w:pPr>
    </w:p>
    <w:p w:rsidR="00CC147B" w:rsidRPr="00CC147B" w:rsidP="00CC147B">
      <w:pPr>
        <w:spacing w:after="0" w:line="240" w:lineRule="auto"/>
        <w:contextualSpacing/>
        <w:rPr>
          <w:b/>
          <w:bCs/>
          <w:sz w:val="24"/>
          <w:szCs w:val="24"/>
        </w:rPr>
      </w:pPr>
      <w:r w:rsidRPr="00CC147B">
        <w:rPr>
          <w:b/>
          <w:bCs/>
          <w:sz w:val="24"/>
          <w:szCs w:val="24"/>
        </w:rPr>
        <w:t>California Assembly Bill 1195 and 241</w:t>
      </w:r>
    </w:p>
    <w:p w:rsidR="00B74E46" w:rsidRPr="00830DFB" w:rsidP="00B74E46">
      <w:pPr>
        <w:spacing w:after="0" w:line="240" w:lineRule="auto"/>
        <w:contextualSpacing/>
        <w:rPr>
          <w:sz w:val="24"/>
          <w:szCs w:val="24"/>
        </w:rPr>
      </w:pPr>
      <w:r w:rsidRPr="00CC147B">
        <w:rPr>
          <w:sz w:val="24"/>
          <w:szCs w:val="24"/>
        </w:rPr>
        <w:t xml:space="preserve">This activity </w:t>
      </w:r>
      <w:r w:rsidRPr="00CC147B">
        <w:rPr>
          <w:sz w:val="24"/>
          <w:szCs w:val="24"/>
        </w:rPr>
        <w:t>is in compliance with</w:t>
      </w:r>
      <w:r w:rsidRPr="00CC147B">
        <w:rPr>
          <w:sz w:val="24"/>
          <w:szCs w:val="24"/>
        </w:rPr>
        <w:t xml:space="preserve"> California Assembly Bill 1195 and 241, which require CME activities with patient care components to include curriculum in the subjects of cultural and linguistic competency &amp; implicit bias. It is the intent of AB 1195 and AB 241 to encourage physicians and surgeons, CME providers in the State of California, and the Accreditation Council for Continuing Medical Education to meet the cultural and linguistic concerns of a diverse patient population and reduce health disparities through appropriate professional development. Please see the CME website, </w:t>
      </w:r>
      <w:r>
        <w:fldChar w:fldCharType="begin"/>
      </w:r>
      <w:r>
        <w:instrText xml:space="preserve"> HYPERLINK "https://www.meded.uci.edu/CME/" </w:instrText>
      </w:r>
      <w:r>
        <w:fldChar w:fldCharType="separate"/>
      </w:r>
      <w:r w:rsidRPr="007312E1" w:rsidR="007312E1">
        <w:rPr>
          <w:rStyle w:val="Hyperlink"/>
          <w:sz w:val="24"/>
          <w:szCs w:val="24"/>
        </w:rPr>
        <w:t>https://www.meded.uci.edu/CME/</w:t>
      </w:r>
      <w:r>
        <w:fldChar w:fldCharType="end"/>
      </w:r>
      <w:r w:rsidR="007312E1">
        <w:rPr>
          <w:sz w:val="24"/>
          <w:szCs w:val="24"/>
        </w:rPr>
        <w:t xml:space="preserve"> </w:t>
      </w:r>
      <w:r w:rsidRPr="00CC147B">
        <w:rPr>
          <w:sz w:val="24"/>
          <w:szCs w:val="24"/>
        </w:rPr>
        <w:t>for AB 1195 and AB 241 resources.</w:t>
      </w:r>
      <w:r w:rsidRPr="00B74E46">
        <w:rPr>
          <w:sz w:val="20"/>
          <w:szCs w:val="20"/>
        </w:rPr>
        <w:t xml:space="preserve"> </w: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w:instrText>
      </w:r>
      <w:r>
        <w:rPr>
          <w:sz w:val="20"/>
          <w:szCs w:val="20"/>
        </w:rPr>
        <w:fldChar w:fldCharType="separate"/>
      </w:r>
      <w:r>
        <w:rPr>
          <w:sz w:val="20"/>
          <w:szCs w:val="20"/>
        </w:rPr>
        <w:instrText>0</w:instrText>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b/>
          <w:bCs/>
          <w:sz w:val="24"/>
          <w:szCs w:val="24"/>
        </w:rPr>
        <w:instrText>MOC Statement(s)</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ABAHoursMax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8240" behindDoc="0" locked="1" layoutInCell="1" allowOverlap="1">
            <wp:simplePos x="0" y="0"/>
            <wp:positionH relativeFrom="column">
              <wp:posOffset>1905</wp:posOffset>
            </wp:positionH>
            <wp:positionV relativeFrom="paragraph">
              <wp:posOffset>14605</wp:posOffset>
            </wp:positionV>
            <wp:extent cx="1522095" cy="539115"/>
            <wp:effectExtent l="0" t="0" r="1905" b="0"/>
            <wp:wrapSquare wrapText="bothSides"/>
            <wp:docPr id="2084115252" name="Picture 2084115252" descr="M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CA"/>
                    <pic:cNvPicPr/>
                  </pic:nvPicPr>
                  <pic:blipFill>
                    <a:blip xmlns:r="http://schemas.openxmlformats.org/officeDocument/2006/relationships" r:embed="rId4" cstate="hqprint">
                      <a:extLst>
                        <a:ext uri="{28A0092B-C50C-407E-A947-70E740481C1C}">
                          <a14:useLocalDpi xmlns:a14="http://schemas.microsoft.com/office/drawing/2010/main" val="0"/>
                        </a:ext>
                      </a:extLst>
                    </a:blip>
                    <a:stretch>
                      <a:fillRect/>
                    </a:stretch>
                  </pic:blipFill>
                  <pic:spPr>
                    <a:xfrm>
                      <a:off x="0" y="0"/>
                      <a:ext cx="1522095" cy="539115"/>
                    </a:xfrm>
                    <a:prstGeom prst="rect">
                      <a:avLst/>
                    </a:prstGeom>
                  </pic:spPr>
                </pic:pic>
              </a:graphicData>
            </a:graphic>
          </wp:anchor>
        </w:drawing>
      </w:r>
      <w:r w:rsidRPr="00830DFB">
        <w:rPr>
          <w:sz w:val="24"/>
          <w:szCs w:val="24"/>
        </w:rPr>
        <w:instrText xml:space="preserve">This activity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ABAPSHoursMax </w:instrText>
      </w:r>
      <w:r w:rsidRPr="00830DFB">
        <w:rPr>
          <w:sz w:val="24"/>
          <w:szCs w:val="24"/>
        </w:rPr>
        <w:fldChar w:fldCharType="separate"/>
      </w:r>
      <w:r w:rsidRPr="00830DFB">
        <w:rPr>
          <w:sz w:val="24"/>
          <w:szCs w:val="24"/>
        </w:rPr>
        <w:fldChar w:fldCharType="end"/>
      </w:r>
      <w:r w:rsidRPr="00830DFB">
        <w:rPr>
          <w:sz w:val="24"/>
          <w:szCs w:val="24"/>
        </w:rPr>
        <w:instrText xml:space="preserve"> &gt; 0 "offers up to</w:instrText>
      </w:r>
      <w:r>
        <w:rPr>
          <w:sz w:val="24"/>
          <w:szCs w:val="24"/>
        </w:rPr>
        <w:instrText xml:space="preserve"> </w:instrText>
      </w:r>
      <w:r>
        <w:rPr>
          <w:sz w:val="24"/>
          <w:szCs w:val="24"/>
        </w:rPr>
        <w:fldChar w:fldCharType="begin"/>
      </w:r>
      <w:r>
        <w:rPr>
          <w:sz w:val="24"/>
          <w:szCs w:val="24"/>
        </w:rPr>
        <w:instrText xml:space="preserve"> MERGEFIELD ABAHoursMax \# 0.00# </w:instrText>
      </w:r>
      <w:r>
        <w:rPr>
          <w:sz w:val="24"/>
          <w:szCs w:val="24"/>
        </w:rPr>
        <w:fldChar w:fldCharType="separate"/>
      </w:r>
      <w:r>
        <w:rPr>
          <w:sz w:val="24"/>
          <w:szCs w:val="24"/>
        </w:rPr>
        <w:fldChar w:fldCharType="end"/>
      </w:r>
      <w:r w:rsidRPr="00830DFB">
        <w:rPr>
          <w:sz w:val="24"/>
          <w:szCs w:val="24"/>
        </w:rPr>
        <w:instrText xml:space="preserve"> CME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of which </w:instrText>
      </w:r>
      <w:r>
        <w:rPr>
          <w:sz w:val="24"/>
          <w:szCs w:val="24"/>
        </w:rPr>
        <w:fldChar w:fldCharType="begin"/>
      </w:r>
      <w:r>
        <w:rPr>
          <w:sz w:val="24"/>
          <w:szCs w:val="24"/>
        </w:rPr>
        <w:instrText xml:space="preserve"> MERGEFIELD ABAPSHoursMax \# 0.00# </w:instrText>
      </w:r>
      <w:r>
        <w:rPr>
          <w:sz w:val="24"/>
          <w:szCs w:val="24"/>
        </w:rPr>
        <w:fldChar w:fldCharType="separate"/>
      </w:r>
      <w:r>
        <w:rPr>
          <w:sz w:val="24"/>
          <w:szCs w:val="24"/>
        </w:rPr>
        <w:fldChar w:fldCharType="end"/>
      </w:r>
      <w:r w:rsidRPr="00830DFB">
        <w:rPr>
          <w:sz w:val="24"/>
          <w:szCs w:val="24"/>
        </w:rPr>
        <w:instrText xml:space="preserv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contribute the patient safety" "</w:instrText>
      </w:r>
      <w:r>
        <w:rPr>
          <w:sz w:val="24"/>
          <w:szCs w:val="24"/>
        </w:rPr>
        <w:instrText>contributes to the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CME </w:instrText>
      </w:r>
      <w:r>
        <w:rPr>
          <w:sz w:val="24"/>
          <w:szCs w:val="24"/>
        </w:rPr>
        <w:instrText xml:space="preserve">component </w:instrText>
      </w:r>
      <w:r w:rsidRPr="00554859">
        <w:rPr>
          <w:sz w:val="24"/>
          <w:szCs w:val="24"/>
        </w:rPr>
        <w:instrText>of the American Board of Anesthesiology’s redesigned Maintenance of Certification in Anesthesiology</w:instrText>
      </w:r>
      <w:r>
        <w:rPr>
          <w:rFonts w:cstheme="minorHAnsi"/>
          <w:sz w:val="24"/>
          <w:szCs w:val="24"/>
        </w:rPr>
        <w:instrText>™</w:instrText>
      </w:r>
      <w:r w:rsidRPr="00554859">
        <w:rPr>
          <w:sz w:val="24"/>
          <w:szCs w:val="24"/>
        </w:rPr>
        <w:instrText xml:space="preserve"> (MOCA®) program, known as MOCA 2.0®. Please consult the ABA website, </w:instrText>
      </w:r>
      <w:r>
        <w:fldChar w:fldCharType="begin"/>
      </w:r>
      <w:r>
        <w:instrText xml:space="preserve"> HYPERLINK "https://www.theaba.org/" </w:instrText>
      </w:r>
      <w:r>
        <w:fldChar w:fldCharType="separate"/>
      </w:r>
      <w:r w:rsidRPr="00554859">
        <w:rPr>
          <w:rStyle w:val="Hyperlink"/>
          <w:sz w:val="24"/>
          <w:szCs w:val="24"/>
        </w:rPr>
        <w:instrText>https://www.theaba.org/</w:instrText>
      </w:r>
      <w:r>
        <w:fldChar w:fldCharType="end"/>
      </w:r>
      <w:r w:rsidRPr="00554859">
        <w:rPr>
          <w:sz w:val="24"/>
          <w:szCs w:val="24"/>
        </w:rPr>
        <w:instrText>, for a list of all MOCA 2.0 requirements.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2336" behindDoc="0" locked="1" layoutInCell="1" allowOverlap="1">
            <wp:simplePos x="0" y="0"/>
            <wp:positionH relativeFrom="column">
              <wp:posOffset>0</wp:posOffset>
            </wp:positionH>
            <wp:positionV relativeFrom="paragraph">
              <wp:posOffset>39370</wp:posOffset>
            </wp:positionV>
            <wp:extent cx="1522095" cy="492760"/>
            <wp:effectExtent l="0" t="0" r="1905" b="2540"/>
            <wp:wrapSquare wrapText="bothSides"/>
            <wp:docPr id="128631735" name="Picture 12863173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735" name="Picture 128631735" descr="A close-up of a sign&#10;&#10;AI-generated content may be incorrect."/>
                    <pic:cNvPicPr/>
                  </pic:nvPicPr>
                  <pic:blipFill>
                    <a:blip xmlns:r="http://schemas.openxmlformats.org/officeDocument/2006/relationships" r:embed="rId5" cstate="hqprint">
                      <a:extLst>
                        <a:ext uri="{28A0092B-C50C-407E-A947-70E740481C1C}">
                          <a14:useLocalDpi xmlns:a14="http://schemas.microsoft.com/office/drawing/2010/main" val="0"/>
                        </a:ext>
                      </a:extLst>
                    </a:blip>
                    <a:stretch>
                      <a:fillRect/>
                    </a:stretch>
                  </pic:blipFill>
                  <pic:spPr>
                    <a:xfrm>
                      <a:off x="0" y="0"/>
                      <a:ext cx="1522095" cy="492760"/>
                    </a:xfrm>
                    <a:prstGeom prst="rect">
                      <a:avLst/>
                    </a:prstGeom>
                  </pic:spPr>
                </pic:pic>
              </a:graphicData>
            </a:graphic>
          </wp:anchor>
        </w:drawing>
      </w:r>
      <w:r w:rsidRPr="002844AD">
        <w:rPr>
          <w:noProof/>
          <w:sz w:val="24"/>
          <w:szCs w:val="24"/>
        </w:rPr>
        <w:instrText>Successful completion of this CME activity</w:instrText>
      </w:r>
      <w:r w:rsidRPr="00830DFB">
        <w:rPr>
          <w:sz w:val="24"/>
          <w:szCs w:val="24"/>
        </w:rPr>
        <w:instrText xml:space="preserve">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w:instrText>
      </w:r>
      <w:r>
        <w:rPr>
          <w:sz w:val="24"/>
          <w:szCs w:val="24"/>
        </w:rPr>
        <w:instrText>BSCCSAM</w:instrText>
      </w:r>
      <w:r w:rsidRPr="00830DFB">
        <w:rPr>
          <w:sz w:val="24"/>
          <w:szCs w:val="24"/>
        </w:rPr>
        <w:instrText xml:space="preserve">Max </w:instrText>
      </w:r>
      <w:r w:rsidRPr="00830DFB">
        <w:rPr>
          <w:sz w:val="24"/>
          <w:szCs w:val="24"/>
        </w:rPr>
        <w:fldChar w:fldCharType="separate"/>
      </w:r>
      <w:r w:rsidRPr="00830DFB">
        <w:rPr>
          <w:sz w:val="24"/>
          <w:szCs w:val="24"/>
        </w:rPr>
        <w:fldChar w:fldCharType="end"/>
      </w:r>
      <w:r w:rsidRPr="00830DFB">
        <w:rPr>
          <w:sz w:val="24"/>
          <w:szCs w:val="24"/>
        </w:rPr>
        <w:instrText xml:space="preserve"> &gt; 0 "</w:instrText>
      </w:r>
      <w:r w:rsidRPr="002844AD">
        <w:rPr>
          <w:sz w:val="24"/>
          <w:szCs w:val="24"/>
        </w:rPr>
        <w:instrText>, which includes participation in the evaluation component, enables the learner to earn credit toward the CME and Self-Assessment</w:instrText>
      </w:r>
      <w:r w:rsidRPr="00830DFB">
        <w:rPr>
          <w:sz w:val="24"/>
          <w:szCs w:val="24"/>
        </w:rPr>
        <w:instrText>" "</w:instrText>
      </w:r>
      <w:r>
        <w:rPr>
          <w:sz w:val="24"/>
          <w:szCs w:val="24"/>
        </w:rPr>
        <w:instrText>,</w:instrText>
      </w:r>
      <w:r w:rsidRPr="002844AD">
        <w:rPr>
          <w:sz w:val="24"/>
          <w:szCs w:val="24"/>
        </w:rPr>
        <w:instrText>enables the learner to earn credit toward the CME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w:instrText>
      </w:r>
      <w:r w:rsidRPr="002844AD">
        <w:rPr>
          <w:sz w:val="24"/>
          <w:szCs w:val="24"/>
        </w:rPr>
        <w:instrText>requirement(s) of the American Board of Surgery’s Continuous Certification program. It is the CME activity provider's responsibility to submit learner completion information to ACCME for the purpose of granting ABS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ABIM2HoursMax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ABIM4HoursMax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9264" behindDoc="0" locked="1" layoutInCell="1" allowOverlap="1">
            <wp:simplePos x="0" y="0"/>
            <wp:positionH relativeFrom="column">
              <wp:posOffset>1905</wp:posOffset>
            </wp:positionH>
            <wp:positionV relativeFrom="paragraph">
              <wp:posOffset>4445</wp:posOffset>
            </wp:positionV>
            <wp:extent cx="1501140" cy="507365"/>
            <wp:effectExtent l="0" t="0" r="3810" b="6985"/>
            <wp:wrapSquare wrapText="bothSides"/>
            <wp:docPr id="3" name="Picture 3" descr="ABIM&#10;CME&#10;MOC&#10;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IM&#10;CME&#10;MOC&#10;Accredited"/>
                    <pic:cNvPicPr/>
                  </pic:nvPicPr>
                  <pic:blipFill>
                    <a:blip xmlns:r="http://schemas.openxmlformats.org/officeDocument/2006/relationships" r:embed="rId6" cstate="hqprint">
                      <a:extLst>
                        <a:ext uri="{28A0092B-C50C-407E-A947-70E740481C1C}">
                          <a14:useLocalDpi xmlns:a14="http://schemas.microsoft.com/office/drawing/2010/main" val="0"/>
                        </a:ext>
                      </a:extLst>
                    </a:blip>
                    <a:stretch>
                      <a:fillRect/>
                    </a:stretch>
                  </pic:blipFill>
                  <pic:spPr>
                    <a:xfrm>
                      <a:off x="0" y="0"/>
                      <a:ext cx="1501140" cy="507365"/>
                    </a:xfrm>
                    <a:prstGeom prst="rect">
                      <a:avLst/>
                    </a:prstGeom>
                  </pic:spPr>
                </pic:pic>
              </a:graphicData>
            </a:graphic>
          </wp:anchor>
        </w:drawing>
      </w:r>
      <w:r w:rsidRPr="00092945">
        <w:rPr>
          <w:sz w:val="24"/>
          <w:szCs w:val="24"/>
        </w:rPr>
        <w:instrText xml:space="preserve">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ABIM2HoursMax </w:instrText>
      </w:r>
      <w:r>
        <w:rPr>
          <w:sz w:val="24"/>
          <w:szCs w:val="24"/>
        </w:rPr>
        <w:fldChar w:fldCharType="separate"/>
      </w:r>
      <w:r>
        <w:rPr>
          <w:sz w:val="24"/>
          <w:szCs w:val="24"/>
        </w:rPr>
        <w:fldChar w:fldCharType="end"/>
      </w:r>
      <w:r>
        <w:rPr>
          <w:sz w:val="24"/>
          <w:szCs w:val="24"/>
        </w:rPr>
        <w:instrText xml:space="preserve"> &gt; 0 "</w:instrText>
      </w:r>
      <w:r>
        <w:rPr>
          <w:sz w:val="24"/>
          <w:szCs w:val="24"/>
        </w:rPr>
        <w:fldChar w:fldCharType="begin"/>
      </w:r>
      <w:r>
        <w:rPr>
          <w:sz w:val="24"/>
          <w:szCs w:val="24"/>
        </w:rPr>
        <w:instrText xml:space="preserve"> MERGEFIELD ABIM2HoursMax \# 0.00# </w:instrText>
      </w:r>
      <w:r>
        <w:rPr>
          <w:sz w:val="24"/>
          <w:szCs w:val="24"/>
        </w:rPr>
        <w:fldChar w:fldCharType="separate"/>
      </w:r>
      <w:r>
        <w:rPr>
          <w:sz w:val="24"/>
          <w:szCs w:val="24"/>
        </w:rPr>
        <w:fldChar w:fldCharType="end"/>
      </w:r>
      <w:r>
        <w:rPr>
          <w:sz w:val="24"/>
          <w:szCs w:val="24"/>
        </w:rPr>
        <w:instrText>" "</w:instrText>
      </w:r>
      <w:r>
        <w:rPr>
          <w:sz w:val="24"/>
          <w:szCs w:val="24"/>
        </w:rPr>
        <w:fldChar w:fldCharType="begin"/>
      </w:r>
      <w:r>
        <w:rPr>
          <w:sz w:val="24"/>
          <w:szCs w:val="24"/>
        </w:rPr>
        <w:instrText xml:space="preserve"> MERGEFIELD ABIM4HoursMax \# 0.00# </w:instrText>
      </w:r>
      <w:r>
        <w:rPr>
          <w:sz w:val="24"/>
          <w:szCs w:val="24"/>
        </w:rPr>
        <w:fldChar w:fldCharType="separate"/>
      </w:r>
      <w:r>
        <w:rPr>
          <w:sz w:val="24"/>
          <w:szCs w:val="24"/>
        </w:rPr>
        <w:fldChar w:fldCharType="end"/>
      </w:r>
      <w:r>
        <w:rPr>
          <w:sz w:val="24"/>
          <w:szCs w:val="24"/>
        </w:rPr>
        <w:instrText xml:space="preserve">" </w:instrText>
      </w:r>
      <w:r>
        <w:rPr>
          <w:sz w:val="24"/>
          <w:szCs w:val="24"/>
        </w:rPr>
        <w:fldChar w:fldCharType="separate"/>
      </w:r>
      <w:r>
        <w:rPr>
          <w:sz w:val="24"/>
          <w:szCs w:val="24"/>
        </w:rPr>
        <w:fldChar w:fldCharType="end"/>
      </w:r>
      <w:r w:rsidRPr="00092945">
        <w:rPr>
          <w:sz w:val="24"/>
          <w:szCs w:val="24"/>
        </w:rPr>
        <w:instrText xml:space="preserve"> MOC point</w:instrText>
      </w:r>
      <w:r>
        <w:rPr>
          <w:sz w:val="24"/>
          <w:szCs w:val="24"/>
        </w:rPr>
        <w:instrText xml:space="preserve">(s)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ABIMPSHoursMax </w:instrText>
      </w:r>
      <w:r>
        <w:rPr>
          <w:sz w:val="24"/>
          <w:szCs w:val="24"/>
        </w:rPr>
        <w:fldChar w:fldCharType="separate"/>
      </w:r>
      <w:r>
        <w:rPr>
          <w:sz w:val="24"/>
          <w:szCs w:val="24"/>
        </w:rPr>
        <w:fldChar w:fldCharType="end"/>
      </w:r>
      <w:r>
        <w:rPr>
          <w:sz w:val="24"/>
          <w:szCs w:val="24"/>
        </w:rPr>
        <w:instrText xml:space="preserve"> &gt; 0 "and patient safety MOC credit" "" </w:instrText>
      </w:r>
      <w:r>
        <w:rPr>
          <w:sz w:val="24"/>
          <w:szCs w:val="24"/>
        </w:rPr>
        <w:fldChar w:fldCharType="separate"/>
      </w:r>
      <w:r>
        <w:rPr>
          <w:sz w:val="24"/>
          <w:szCs w:val="24"/>
        </w:rPr>
        <w:fldChar w:fldCharType="end"/>
      </w:r>
      <w:r w:rsidRPr="00092945">
        <w:instrText xml:space="preserve"> </w:instrText>
      </w:r>
      <w:r w:rsidRPr="00092945">
        <w:rPr>
          <w:sz w:val="24"/>
          <w:szCs w:val="24"/>
        </w:rPr>
        <w:instrText>in the American Board of Internal Medicine’s (ABIM) Maintenance of Certification (MOC) program. It is the CME activity provider’s responsibility to submit participant completion information to ACCME for the purpose of granting ABIM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ABOHNSHoursMax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sidRPr="00E010EA">
        <w:rPr>
          <w:sz w:val="24"/>
          <w:szCs w:val="24"/>
        </w:rPr>
        <w:instrText xml:space="preserve">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Pr>
          <w:sz w:val="20"/>
          <w:szCs w:val="20"/>
        </w:rPr>
        <w:instrText xml:space="preserve">""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ABPathHoursMax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0288" behindDoc="0" locked="1" layoutInCell="1" allowOverlap="1">
            <wp:simplePos x="0" y="0"/>
            <wp:positionH relativeFrom="column">
              <wp:posOffset>1905</wp:posOffset>
            </wp:positionH>
            <wp:positionV relativeFrom="paragraph">
              <wp:posOffset>25400</wp:posOffset>
            </wp:positionV>
            <wp:extent cx="1115060" cy="685800"/>
            <wp:effectExtent l="0" t="0" r="8890" b="0"/>
            <wp:wrapSquare wrapText="bothSides"/>
            <wp:docPr id="5" name="Picture 5" descr="CME for&#10;ABPat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ME for&#10;ABPath CC"/>
                    <pic:cNvPicPr/>
                  </pic:nvPicPr>
                  <pic:blipFill rotWithShape="1">
                    <a:blip xmlns:r="http://schemas.openxmlformats.org/officeDocument/2006/relationships" r:embed="rId7" cstate="hqprint">
                      <a:extLst>
                        <a:ext uri="{28A0092B-C50C-407E-A947-70E740481C1C}">
                          <a14:useLocalDpi xmlns:a14="http://schemas.microsoft.com/office/drawing/2010/main" val="0"/>
                        </a:ext>
                      </a:extLst>
                    </a:blip>
                    <a:srcRect b="30172"/>
                    <a:stretch/>
                  </pic:blipFill>
                  <pic:spPr bwMode="auto">
                    <a:xfrm>
                      <a:off x="0" y="0"/>
                      <a:ext cx="1115060" cy="68580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This activity has been registered for American Board of Pathology’s Continuing Certification program. 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MERGEFIELD ABPathHoursMax \# 0.00# </w:instrText>
      </w:r>
      <w:r>
        <w:rPr>
          <w:sz w:val="24"/>
          <w:szCs w:val="24"/>
        </w:rPr>
        <w:fldChar w:fldCharType="separate"/>
      </w:r>
      <w:r>
        <w:rPr>
          <w:sz w:val="24"/>
          <w:szCs w:val="24"/>
        </w:rPr>
        <w:fldChar w:fldCharType="end"/>
      </w:r>
      <w:r w:rsidRPr="00E010EA">
        <w:rPr>
          <w:sz w:val="24"/>
          <w:szCs w:val="24"/>
        </w:rPr>
        <w:instrText xml:space="preserve"> Lifelong Learning (CME)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Pathology’s Continuing Certification program. It is the CME activity provider’s responsibility to submit participant completion information to ACCME for the purpose of granting ABPath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1312" behindDoc="0" locked="1" layoutInCell="1" allowOverlap="1">
            <wp:simplePos x="0" y="0"/>
            <wp:positionH relativeFrom="column">
              <wp:posOffset>1905</wp:posOffset>
            </wp:positionH>
            <wp:positionV relativeFrom="paragraph">
              <wp:posOffset>4445</wp:posOffset>
            </wp:positionV>
            <wp:extent cx="1005840" cy="830580"/>
            <wp:effectExtent l="0" t="0" r="3810" b="7620"/>
            <wp:wrapSquare wrapText="bothSides"/>
            <wp:docPr id="10" name="Picture 10" descr="Part 2&#10;MOC&#10;The American Board of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rt 2&#10;MOC&#10;The American Board of Pediatrics"/>
                    <pic:cNvPicPr/>
                  </pic:nvPicPr>
                  <pic:blipFill rotWithShape="1">
                    <a:blip xmlns:r="http://schemas.openxmlformats.org/officeDocument/2006/relationships" r:embed="rId8">
                      <a:extLst>
                        <a:ext uri="{28A0092B-C50C-407E-A947-70E740481C1C}">
                          <a14:useLocalDpi xmlns:a14="http://schemas.microsoft.com/office/drawing/2010/main" val="0"/>
                        </a:ext>
                      </a:extLst>
                    </a:blip>
                    <a:srcRect t="8755" b="8604"/>
                    <a:stretch/>
                  </pic:blipFill>
                  <pic:spPr bwMode="auto">
                    <a:xfrm>
                      <a:off x="0" y="0"/>
                      <a:ext cx="1005840" cy="83058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Successful completion of this CME activity, which includes participation in the evaluation component, enables the learner to earn up to </w:instrText>
      </w:r>
      <w:r>
        <w:rPr>
          <w:sz w:val="24"/>
          <w:szCs w:val="24"/>
        </w:rPr>
        <w:fldChar w:fldCharType="begin"/>
      </w:r>
      <w:r>
        <w:rPr>
          <w:sz w:val="24"/>
          <w:szCs w:val="24"/>
        </w:rPr>
        <w:instrText xml:space="preserve"> MERGEFIELD ABPHoursMax \# 0.00# </w:instrText>
      </w:r>
      <w:r>
        <w:rPr>
          <w:sz w:val="24"/>
          <w:szCs w:val="24"/>
        </w:rPr>
        <w:fldChar w:fldCharType="separate"/>
      </w:r>
      <w:r>
        <w:rPr>
          <w:sz w:val="24"/>
          <w:szCs w:val="24"/>
        </w:rPr>
        <w:fldChar w:fldCharType="end"/>
      </w:r>
      <w:r w:rsidRPr="00E010EA">
        <w:rPr>
          <w:sz w:val="24"/>
          <w:szCs w:val="24"/>
        </w:rPr>
        <w:instrText xml:space="preserv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Pediatrics’ (ABP) Maintenance of Certification (MOC) program. It is the CME activity provider’s responsibility to submit learner completion information to ACCME for the purpose of granting ABP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4"/>
          <w:szCs w:val="24"/>
        </w:rPr>
      </w:pPr>
      <w:r w:rsidRPr="000063DA">
        <w:rPr>
          <w:sz w:val="24"/>
          <w:szCs w:val="24"/>
        </w:rPr>
        <w:instrText>Through the American Board of Medical Specialties (“ABMS”) ongoing commitment to increase access to practice relevant Continuing Certification Activities through the</w:instrText>
      </w:r>
      <w:r>
        <w:rPr>
          <w:sz w:val="24"/>
          <w:szCs w:val="24"/>
        </w:rPr>
        <w:instrText xml:space="preserve"> </w:instrText>
      </w:r>
      <w:r>
        <w:fldChar w:fldCharType="begin"/>
      </w:r>
      <w:r>
        <w:instrText xml:space="preserve"> HYPERLINK "https://www.continuingcertification.org/" </w:instrText>
      </w:r>
      <w:r>
        <w:fldChar w:fldCharType="separate"/>
      </w:r>
      <w:r w:rsidRPr="000063DA">
        <w:rPr>
          <w:rStyle w:val="Hyperlink"/>
          <w:sz w:val="24"/>
          <w:szCs w:val="24"/>
        </w:rPr>
        <w:instrText>ABMS Continuing Certification Directory</w:instrText>
      </w:r>
      <w:r>
        <w:fldChar w:fldCharType="end"/>
      </w:r>
      <w:r>
        <w:rPr>
          <w:sz w:val="24"/>
          <w:szCs w:val="24"/>
        </w:rPr>
        <w:instrText xml:space="preserve">, this activity </w:instrText>
      </w:r>
      <w:r w:rsidRPr="000063DA">
        <w:rPr>
          <w:sz w:val="24"/>
          <w:szCs w:val="24"/>
        </w:rPr>
        <w:instrText xml:space="preserve">has met the requirements as a </w:instrText>
      </w:r>
      <w:r w:rsidRPr="000063DA">
        <w:rPr>
          <w:b/>
          <w:bCs/>
          <w:sz w:val="24"/>
          <w:szCs w:val="24"/>
        </w:rPr>
        <w:instrText xml:space="preserve">Lifelong Learning CME Activity </w:instrText>
      </w:r>
      <w:r w:rsidRPr="000063DA">
        <w:rPr>
          <w:sz w:val="24"/>
          <w:szCs w:val="24"/>
        </w:rPr>
        <w:instrText>(apply toward general CME requirement) for the following ABMS Member Boards:</w:instrText>
      </w:r>
    </w:p>
    <w:p w:rsidR="00B74E46" w:rsidP="00B74E46">
      <w:pPr>
        <w:spacing w:after="0" w:line="240" w:lineRule="auto"/>
        <w:contextualSpacing/>
        <w:rPr>
          <w:sz w:val="20"/>
          <w:szCs w:val="20"/>
        </w:rPr>
      </w:pP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ABFM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ABFMHoursMax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ABPMR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ABPMRHoursMax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&gt; 0 "</w:instrText>
      </w:r>
    </w:p>
    <w:p w:rsidR="00B74E46" w:rsidRPr="000063DA" w:rsidP="00B74E46">
      <w:pPr>
        <w:spacing w:after="0" w:line="240" w:lineRule="auto"/>
        <w:contextualSpacing/>
        <w:rPr>
          <w:sz w:val="24"/>
          <w:szCs w:val="24"/>
        </w:rPr>
      </w:pPr>
      <w:r>
        <w:rPr>
          <w:sz w:val="24"/>
          <w:szCs w:val="24"/>
        </w:rPr>
        <w:instrText xml:space="preserve">ABPN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ABPNHoursMax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p>
    <w:p w:rsidR="004F716E" w:rsidP="00B74E46">
      <w:pPr>
        <w:spacing w:after="0" w:line="240" w:lineRule="auto"/>
        <w:contextualSpacing/>
        <w:rPr>
          <w:sz w:val="20"/>
          <w:szCs w:val="20"/>
        </w:rPr>
      </w:pPr>
    </w:p>
    <w:p w:rsidR="001420EC" w:rsidP="004F716E">
      <w:pPr>
        <w:spacing w:after="0" w:line="240" w:lineRule="auto"/>
        <w:contextualSpacing/>
        <w:rPr>
          <w:sz w:val="24"/>
          <w:szCs w:val="24"/>
        </w:rPr>
      </w:pPr>
      <w:r>
        <w:rPr>
          <w:b/>
          <w:bCs/>
          <w:sz w:val="24"/>
          <w:szCs w:val="24"/>
        </w:rPr>
        <w:t>Faculty &amp; Planner</w:t>
      </w:r>
      <w:r>
        <w:rPr>
          <w:b/>
          <w:bCs/>
          <w:sz w:val="24"/>
          <w:szCs w:val="24"/>
        </w:rPr>
        <w:t xml:space="preserve"> Disclosures</w:t>
      </w:r>
    </w:p>
    <w:p w:rsidR="001420EC" w:rsidP="004F716E">
      <w:pPr>
        <w:spacing w:after="0" w:line="240" w:lineRule="auto"/>
        <w:contextualSpacing/>
        <w:rPr>
          <w:sz w:val="24"/>
          <w:szCs w:val="24"/>
        </w:rPr>
      </w:pPr>
      <w:r w:rsidRPr="001420EC">
        <w:rPr>
          <w:sz w:val="24"/>
          <w:szCs w:val="24"/>
        </w:rPr>
        <w:t>University of California, Irvine School of Medicine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1420EC" w:rsidRPr="001420EC" w:rsidP="004F716E">
      <w:pPr>
        <w:spacing w:after="0" w:line="240" w:lineRule="auto"/>
        <w:contextualSpacing/>
        <w:rPr>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Joanie Burns, Other, DNP, APRN, PMHNP-BC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Michael Cummings,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Blaire Heath, PharmD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Annabel Kuhn,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Puder,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- 12/21/2025</w:t>
            </w:r>
          </w:p>
        </w:tc>
      </w:tr>
    </w:tbl>
    <w:p w:rsidR="004F716E">
      <w:pPr>
        <w:bidi w:val="0"/>
        <w:spacing w:after="280" w:afterAutospacing="1"/>
        <w:rPr>
          <w:sz w:val="20"/>
          <w:szCs w:val="20"/>
        </w:rPr>
      </w:pP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Agenda</w:t>
      </w:r>
    </w:p>
    <w:p w:rsidR="004F716E" w:rsidRPr="00302AD4" w:rsidP="004F716E">
      <w:pPr>
        <w:spacing w:after="0" w:line="240" w:lineRule="auto"/>
        <w:contextualSpacing/>
        <w:rPr>
          <w:b/>
          <w:bCs/>
          <w:sz w:val="20"/>
          <w:szCs w:val="20"/>
        </w:rPr>
      </w:pPr>
      <w:r>
        <w:rPr>
          <w:b/>
          <w:bCs/>
          <w:sz w:val="20"/>
          <w:szCs w:val="20"/>
        </w:rPr>
        <w:t>[INSERT AGENDA HERE MANUALLY]</w:t>
      </w: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Acknowledgement of Commercial Support</w:t>
      </w:r>
    </w:p>
    <w:p w:rsidR="002858C0" w:rsidRPr="00302AD4">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Pr>
          <w:sz w:val="24"/>
          <w:szCs w:val="24"/>
        </w:rPr>
        <w:fldChar w:fldCharType="begin"/>
      </w:r>
      <w:r>
        <w:rPr>
          <w:sz w:val="24"/>
          <w:szCs w:val="24"/>
        </w:rPr>
        <w:instrText xml:space="preserve"> MERGEFIELD CommercialSupport </w:instrText>
      </w:r>
      <w:r>
        <w:rPr>
          <w:sz w:val="24"/>
          <w:szCs w:val="24"/>
        </w:rPr>
        <w:fldChar w:fldCharType="separate"/>
      </w:r>
      <w:r w:rsidR="00D46C0D">
        <w:rPr>
          <w:noProof/>
          <w:sz w:val="24"/>
          <w:szCs w:val="24"/>
        </w:rPr>
        <w:instrText>«CommercialSupport»</w:instrText>
      </w:r>
      <w:r>
        <w:rPr>
          <w:sz w:val="24"/>
          <w:szCs w:val="24"/>
        </w:rPr>
        <w:fldChar w:fldCharType="end"/>
      </w:r>
      <w:r>
        <w:rPr>
          <w:sz w:val="24"/>
          <w:szCs w:val="24"/>
        </w:rPr>
        <w:instrText xml:space="preserve">" "No commercial support has been received for this activity." </w:instrText>
      </w:r>
      <w:r>
        <w:rPr>
          <w:sz w:val="24"/>
          <w:szCs w:val="24"/>
        </w:rPr>
        <w:fldChar w:fldCharType="separate"/>
      </w:r>
      <w:r>
        <w:rPr>
          <w:sz w:val="24"/>
          <w:szCs w:val="24"/>
        </w:rPr>
        <w:t>No commercial support has been received for this activity.</w:t>
      </w:r>
      <w:r>
        <w:rPr>
          <w:sz w:val="24"/>
          <w:szCs w:val="24"/>
        </w:rPr>
        <w:fldChar w:fldCharType="end"/>
      </w:r>
    </w:p>
    <w:sectPr w:rsidSect="004F7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o Light">
    <w:panose1 w:val="00000400000000000000"/>
    <w:charset w:val="4D"/>
    <w:family w:val="auto"/>
    <w:pitch w:val="variable"/>
    <w:sig w:usb0="00000007" w:usb1="00000000" w:usb2="00000000" w:usb3="00000000" w:csb0="0000008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E1"/>
    <w:rPr>
      <w:color w:val="0563C1" w:themeColor="hyperlink"/>
      <w:u w:val="single"/>
    </w:rPr>
  </w:style>
  <w:style w:type="character" w:customStyle="1" w:styleId="UnresolvedMention">
    <w:name w:val="Unresolved Mention"/>
    <w:basedOn w:val="DefaultParagraphFont"/>
    <w:uiPriority w:val="99"/>
    <w:semiHidden/>
    <w:unhideWhenUsed/>
    <w:rsid w:val="0073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Browne, Tyler</dc:creator>
  <cp:lastModifiedBy>Millard, Beverly</cp:lastModifiedBy>
  <cp:revision>2</cp:revision>
  <dcterms:created xsi:type="dcterms:W3CDTF">2025-05-02T13:50:00Z</dcterms:created>
  <dcterms:modified xsi:type="dcterms:W3CDTF">2025-05-02T13:50:00Z</dcterms:modified>
</cp:coreProperties>
</file>