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6.0.0 -->
  <w:body>
    <w:p w:rsidR="00467105" w:rsidP="004F716E">
      <w:pPr>
        <w:spacing w:after="0" w:line="240" w:lineRule="auto"/>
        <w:contextualSpacing/>
        <w:jc w:val="center"/>
        <w:rPr>
          <w:b/>
          <w:bCs/>
          <w:sz w:val="20"/>
          <w:szCs w:val="20"/>
        </w:rPr>
      </w:pPr>
      <w:bookmarkStart w:id="0" w:name="_Hlk135140857"/>
      <w:bookmarkEnd w:id="0"/>
      <w:r w:rsidRPr="00467105">
        <w:rPr>
          <w:b/>
          <w:bCs/>
          <w:sz w:val="20"/>
          <w:szCs w:val="20"/>
        </w:rPr>
        <w:fldChar w:fldCharType="begin"/>
      </w:r>
      <w:r w:rsidRPr="00467105">
        <w:rPr>
          <w:b/>
          <w:bCs/>
          <w:sz w:val="20"/>
          <w:szCs w:val="20"/>
        </w:rPr>
        <w:instrText xml:space="preserve"> IF </w:instrText>
      </w:r>
      <w:r w:rsidRPr="00467105">
        <w:rPr>
          <w:b/>
          <w:bCs/>
          <w:sz w:val="20"/>
          <w:szCs w:val="20"/>
        </w:rPr>
        <w:instrText>"</w:instrText>
      </w:r>
      <w:r w:rsidRPr="00467105">
        <w:rPr>
          <w:b/>
          <w:bCs/>
          <w:sz w:val="20"/>
          <w:szCs w:val="20"/>
        </w:rPr>
        <w:instrText>"</w:instrText>
      </w:r>
      <w:r w:rsidRPr="00467105">
        <w:rPr>
          <w:b/>
          <w:bCs/>
          <w:sz w:val="20"/>
          <w:szCs w:val="20"/>
        </w:rPr>
        <w:instrText xml:space="preserve"> &lt;&gt; "" "</w:instrText>
      </w:r>
      <w:r w:rsidRPr="00467105">
        <w:rPr>
          <w:b/>
          <w:bCs/>
          <w:sz w:val="28"/>
          <w:szCs w:val="28"/>
        </w:rPr>
        <w:fldChar w:fldCharType="begin"/>
      </w:r>
      <w:r w:rsidRPr="00467105">
        <w:rPr>
          <w:b/>
          <w:bCs/>
          <w:sz w:val="28"/>
          <w:szCs w:val="28"/>
        </w:rPr>
        <w:instrText xml:space="preserve"> MERGEFIELD ParentName </w:instrText>
      </w:r>
      <w:r w:rsidRPr="00467105">
        <w:rPr>
          <w:b/>
          <w:bCs/>
          <w:sz w:val="28"/>
          <w:szCs w:val="28"/>
        </w:rPr>
        <w:fldChar w:fldCharType="separate"/>
      </w:r>
      <w:r w:rsidR="00B86886">
        <w:rPr>
          <w:b/>
          <w:bCs/>
          <w:noProof/>
          <w:sz w:val="28"/>
          <w:szCs w:val="28"/>
        </w:rPr>
        <w:instrText>«ParentName»</w:instrText>
      </w:r>
      <w:r w:rsidRPr="00467105">
        <w:rPr>
          <w:b/>
          <w:bCs/>
          <w:sz w:val="28"/>
          <w:szCs w:val="28"/>
        </w:rPr>
        <w:fldChar w:fldCharType="end"/>
      </w:r>
    </w:p>
    <w:p w:rsidR="00B86886" w:rsidP="004F716E">
      <w:pPr>
        <w:spacing w:after="0" w:line="240" w:lineRule="auto"/>
        <w:contextualSpacing/>
        <w:jc w:val="center"/>
        <w:rPr>
          <w:b/>
          <w:bCs/>
          <w:noProof/>
          <w:sz w:val="20"/>
          <w:szCs w:val="20"/>
        </w:rPr>
      </w:pPr>
      <w:r>
        <w:rPr>
          <w:b/>
          <w:bCs/>
          <w:sz w:val="24"/>
          <w:szCs w:val="24"/>
        </w:rPr>
        <w:fldChar w:fldCharType="begin"/>
      </w:r>
      <w:r>
        <w:rPr>
          <w:b/>
          <w:bCs/>
          <w:sz w:val="24"/>
          <w:szCs w:val="24"/>
        </w:rPr>
        <w:instrText xml:space="preserve"> MERGEFIELD EventName </w:instrText>
      </w:r>
      <w:r>
        <w:rPr>
          <w:b/>
          <w:bCs/>
          <w:sz w:val="24"/>
          <w:szCs w:val="24"/>
        </w:rPr>
        <w:fldChar w:fldCharType="separate"/>
      </w:r>
      <w:r>
        <w:rPr>
          <w:b/>
          <w:bCs/>
          <w:noProof/>
          <w:sz w:val="24"/>
          <w:szCs w:val="24"/>
        </w:rPr>
        <w:instrText>«EventName»</w:instrText>
      </w:r>
      <w:r>
        <w:rPr>
          <w:b/>
          <w:bCs/>
          <w:sz w:val="24"/>
          <w:szCs w:val="24"/>
        </w:rPr>
        <w:fldChar w:fldCharType="end"/>
      </w:r>
      <w:r w:rsidRPr="00467105">
        <w:rPr>
          <w:b/>
          <w:bCs/>
          <w:sz w:val="20"/>
          <w:szCs w:val="20"/>
        </w:rPr>
        <w:instrText>" "</w:instrText>
      </w:r>
      <w:r w:rsidRPr="00467105">
        <w:rPr>
          <w:b/>
          <w:bCs/>
          <w:sz w:val="28"/>
          <w:szCs w:val="28"/>
        </w:rPr>
        <w:instrText>Psychiatry &amp; Psychotherapy Podcast Series: Episode 274: Mentalization-Based Therapy (MBT) Explained: Practical Techniques to Improve Clinical Outcomes in Borderline Personality Disorder, OCD &amp; Narcissism</w:instrText>
      </w:r>
      <w:r w:rsidRPr="00467105">
        <w:rPr>
          <w:b/>
          <w:bCs/>
          <w:sz w:val="20"/>
          <w:szCs w:val="20"/>
        </w:rPr>
        <w:instrText>"</w:instrText>
      </w:r>
      <w:r w:rsidRPr="00467105" w:rsidR="004F716E">
        <w:rPr>
          <w:b/>
          <w:bCs/>
          <w:sz w:val="20"/>
          <w:szCs w:val="20"/>
        </w:rPr>
        <w:instrText xml:space="preserve"> </w:instrText>
      </w:r>
      <w:r w:rsidRPr="00467105" w:rsidR="004F716E">
        <w:rPr>
          <w:b/>
          <w:bCs/>
          <w:sz w:val="20"/>
          <w:szCs w:val="20"/>
        </w:rPr>
        <w:fldChar w:fldCharType="separate"/>
      </w:r>
      <w:r w:rsidRPr="00467105">
        <w:rPr>
          <w:b/>
          <w:bCs/>
          <w:sz w:val="28"/>
          <w:szCs w:val="28"/>
        </w:rPr>
        <w:t>Psychiatry &amp; Psychotherapy Podcast Series: Episode 274: Mentalization-Based Therapy (MBT) Explained: Practical Techniques to Improve Clinical Outcomes in Borderline Personality Disorder, OCD &amp; Narcissism</w:t>
      </w:r>
      <w:r w:rsidRPr="00467105" w:rsidR="004F716E">
        <w:rPr>
          <w:b/>
          <w:bCs/>
          <w:sz w:val="20"/>
          <w:szCs w:val="20"/>
        </w:rPr>
        <w:fldChar w:fldCharType="end"/>
      </w:r>
    </w:p>
    <w:p w:rsidR="004F716E" w:rsidP="004F716E">
      <w:pPr>
        <w:spacing w:after="0" w:line="240" w:lineRule="auto"/>
        <w:contextualSpacing/>
        <w:rPr>
          <w:sz w:val="20"/>
          <w:szCs w:val="20"/>
        </w:rPr>
      </w:pPr>
    </w:p>
    <w:p w:rsidR="00467105" w:rsidRPr="00F73D88" w:rsidP="00467105">
      <w:pPr>
        <w:spacing w:after="0" w:line="240" w:lineRule="auto"/>
        <w:contextualSpacing/>
        <w:jc w:val="center"/>
        <w:rPr>
          <w:sz w:val="24"/>
          <w:szCs w:val="24"/>
        </w:rPr>
      </w:pPr>
      <w:r>
        <w:rPr>
          <w:sz w:val="24"/>
          <w:szCs w:val="24"/>
        </w:rPr>
        <w:t>August 20, 2026</w:t>
      </w:r>
      <w:r>
        <w:rPr>
          <w:sz w:val="24"/>
          <w:szCs w:val="24"/>
        </w:rPr>
        <w:fldChar w:fldCharType="begin"/>
      </w:r>
      <w:r>
        <w:rPr>
          <w:sz w:val="24"/>
          <w:szCs w:val="24"/>
        </w:rPr>
        <w:instrText xml:space="preserve"> IF </w:instrText>
      </w:r>
      <w:r>
        <w:rPr>
          <w:sz w:val="24"/>
          <w:szCs w:val="24"/>
        </w:rPr>
        <w:instrText>"</w:instrText>
      </w:r>
      <w:r>
        <w:rPr>
          <w:sz w:val="24"/>
          <w:szCs w:val="24"/>
        </w:rPr>
        <w:instrText>8 20 2026</w:instrText>
      </w:r>
      <w:r>
        <w:rPr>
          <w:sz w:val="24"/>
          <w:szCs w:val="24"/>
        </w:rPr>
        <w:instrText>"</w:instrText>
      </w:r>
      <w:r>
        <w:rPr>
          <w:sz w:val="24"/>
          <w:szCs w:val="24"/>
        </w:rPr>
        <w:instrText xml:space="preserve"> &lt;&gt; </w:instrText>
      </w:r>
      <w:r>
        <w:rPr>
          <w:sz w:val="24"/>
          <w:szCs w:val="24"/>
        </w:rPr>
        <w:instrText>"</w:instrText>
      </w:r>
      <w:r>
        <w:rPr>
          <w:sz w:val="24"/>
          <w:szCs w:val="24"/>
        </w:rPr>
        <w:instrText>8 19 2029</w:instrText>
      </w:r>
      <w:r>
        <w:rPr>
          <w:sz w:val="24"/>
          <w:szCs w:val="24"/>
        </w:rPr>
        <w:instrText>"</w:instrText>
      </w:r>
      <w:r>
        <w:rPr>
          <w:sz w:val="24"/>
          <w:szCs w:val="24"/>
        </w:rPr>
        <w:instrText xml:space="preserve"> "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EndTime \@ "MMMM d, yyyy" </w:instrText>
      </w:r>
      <w:r>
        <w:rPr>
          <w:sz w:val="24"/>
          <w:szCs w:val="24"/>
        </w:rPr>
        <w:fldChar w:fldCharType="separate"/>
      </w:r>
      <w:r w:rsidR="00B86886">
        <w:rPr>
          <w:noProof/>
          <w:sz w:val="24"/>
          <w:szCs w:val="24"/>
        </w:rPr>
        <w:instrText>«EndTime»</w:instrText>
      </w:r>
      <w:r>
        <w:rPr>
          <w:sz w:val="24"/>
          <w:szCs w:val="24"/>
        </w:rPr>
        <w:fldChar w:fldCharType="end"/>
      </w:r>
      <w:r>
        <w:rPr>
          <w:sz w:val="24"/>
          <w:szCs w:val="24"/>
        </w:rPr>
        <w:instrText xml:space="preserve">" "" </w:instrText>
      </w:r>
      <w:r>
        <w:rPr>
          <w:sz w:val="24"/>
          <w:szCs w:val="24"/>
        </w:rPr>
        <w:fldChar w:fldCharType="separate"/>
      </w:r>
      <w:r>
        <w:rPr>
          <w:sz w:val="24"/>
          <w:szCs w:val="24"/>
        </w:rPr>
        <w:fldChar w:fldCharType="end"/>
      </w:r>
    </w:p>
    <w:p w:rsidR="004E13E4" w:rsidP="004F716E">
      <w:pPr>
        <w:spacing w:after="0" w:line="240" w:lineRule="auto"/>
        <w:contextualSpacing/>
        <w:rPr>
          <w:sz w:val="20"/>
          <w:szCs w:val="20"/>
        </w:rPr>
      </w:pPr>
      <w:r>
        <w:rPr>
          <w:sz w:val="20"/>
          <w:szCs w:val="20"/>
        </w:rPr>
        <w:fldChar w:fldCharType="begin"/>
      </w:r>
      <w:r>
        <w:rPr>
          <w:sz w:val="20"/>
          <w:szCs w:val="20"/>
        </w:rPr>
        <w:instrText xml:space="preserve"> IF "</w:instrText>
      </w:r>
    </w:p>
    <w:p>
      <w:pPr>
        <w:bidi w:val="0"/>
        <w:spacing w:after="280" w:afterAutospacing="1"/>
        <w:rPr>
          <w:rtl w:val="0"/>
        </w:rPr>
      </w:pPr>
      <w:r>
        <w:rPr>
          <w:rtl w:val="0"/>
        </w:rPr>
        <w:instrText xml:space="preserve">David Puder welcomes Robert Drozek, clinical director of the Mentalization-Based Treatment Clinic at McLean Hospital and author of </w:instrText>
      </w:r>
      <w:r>
        <w:rPr>
          <w:i/>
          <w:iCs/>
          <w:rtl w:val="0"/>
        </w:rPr>
        <w:instrText>Mentalization: Utilizing Reflection to Heal from Borderline Personality Disorder</w:instrText>
      </w:r>
      <w:r>
        <w:rPr>
          <w:rtl w:val="0"/>
        </w:rPr>
        <w:instrText>. They discuss mentalization-based treatment and how clinicians can use the process of understanding patients’ thoughts, feelings, desires, and perspectives to improve therapeutic work. The conversation focuses on translating MBT into practical knowledge that clinicians can apply with patients, particularly those with borderline personality disorder, narcissistic personality disorder, and PTSD.</w:instrText>
      </w:r>
    </w:p>
    <w:p>
      <w:pPr>
        <w:bidi w:val="0"/>
        <w:spacing w:after="280" w:afterAutospacing="1"/>
        <w:rPr>
          <w:sz w:val="20"/>
          <w:szCs w:val="20"/>
        </w:rPr>
      </w:pPr>
      <w:r>
        <w:rPr>
          <w:sz w:val="20"/>
          <w:szCs w:val="20"/>
        </w:rPr>
        <w:instrText>" &lt;&gt; "" "</w:instrText>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instrText>Purpose</w:instrText>
      </w:r>
    </w:p>
    <w:p w:rsidR="00B86886">
      <w:pPr>
        <w:bidi w:val="0"/>
        <w:spacing w:after="280" w:afterAutospacing="1"/>
        <w:rPr>
          <w:noProof/>
          <w:sz w:val="20"/>
          <w:szCs w:val="20"/>
        </w:rPr>
      </w:pPr>
      <w:r>
        <w:rPr>
          <w:rtl w:val="0"/>
        </w:rPr>
        <w:instrText xml:space="preserve">David Puder welcomes Robert Drozek, clinical director of the Mentalization-Based Treatment Clinic at McLean Hospital and author of </w:instrText>
      </w:r>
      <w:r>
        <w:rPr>
          <w:i/>
          <w:iCs/>
          <w:rtl w:val="0"/>
        </w:rPr>
        <w:instrText>Mentalization: Utilizing Reflection to Heal from Borderline Personality Disorder</w:instrText>
      </w:r>
      <w:r>
        <w:rPr>
          <w:rtl w:val="0"/>
        </w:rPr>
        <w:instrText>. They discuss mentalization-based treatment and how clinicians can use the process of understanding patients’ thoughts, feelings, desires, and perspectives to improve therapeutic work. The conversation focuses on translating MBT into practical knowledge that clinicians can apply with patients, particularly those with borderline personality disorder, narcissistic personality disorder, and PTSD.</w:instrText>
      </w:r>
    </w:p>
    <w:p>
      <w:pPr>
        <w:bidi w:val="0"/>
        <w:spacing w:after="280" w:afterAutospacing="1"/>
        <w:rPr>
          <w:sz w:val="24"/>
          <w:szCs w:val="24"/>
        </w:rPr>
      </w:pPr>
      <w:r>
        <w:rPr>
          <w:sz w:val="20"/>
          <w:szCs w:val="20"/>
        </w:rPr>
        <w:instrText xml:space="preserve">" "" </w:instrText>
      </w:r>
      <w:r>
        <w:rPr>
          <w:sz w:val="20"/>
          <w:szCs w:val="20"/>
        </w:rPr>
        <w:fldChar w:fldCharType="separate"/>
      </w:r>
    </w:p>
    <w:p w:rsidR="004E13E4" w:rsidP="004F716E">
      <w:pPr>
        <w:spacing w:after="0" w:line="240" w:lineRule="auto"/>
        <w:contextualSpacing/>
        <w:rPr>
          <w:sz w:val="20"/>
          <w:szCs w:val="20"/>
        </w:rPr>
      </w:pPr>
    </w:p>
    <w:p w:rsidR="004E13E4" w:rsidP="004F716E">
      <w:pPr>
        <w:spacing w:after="0" w:line="240" w:lineRule="auto"/>
        <w:contextualSpacing/>
        <w:rPr>
          <w:sz w:val="24"/>
          <w:szCs w:val="24"/>
        </w:rPr>
      </w:pPr>
      <w:r>
        <w:rPr>
          <w:b/>
          <w:bCs/>
          <w:sz w:val="24"/>
          <w:szCs w:val="24"/>
        </w:rPr>
        <w:t>Purpose</w:t>
      </w:r>
    </w:p>
    <w:p w:rsidR="00B86886">
      <w:pPr>
        <w:bidi w:val="0"/>
        <w:spacing w:after="280" w:afterAutospacing="1"/>
        <w:rPr>
          <w:noProof/>
          <w:sz w:val="20"/>
          <w:szCs w:val="20"/>
        </w:rPr>
      </w:pPr>
      <w:r>
        <w:rPr>
          <w:rtl w:val="0"/>
        </w:rPr>
        <w:t xml:space="preserve">David Puder welcomes Robert Drozek, clinical director of the Mentalization-Based Treatment Clinic at McLean Hospital and author of </w:t>
      </w:r>
      <w:r>
        <w:rPr>
          <w:i/>
          <w:iCs/>
          <w:rtl w:val="0"/>
        </w:rPr>
        <w:t>Mentalization: Utilizing Reflection to Heal from Borderline Personality Disorder</w:t>
      </w:r>
      <w:r>
        <w:rPr>
          <w:rtl w:val="0"/>
        </w:rPr>
        <w:t>. They discuss mentalization-based treatment and how clinicians can use the process of understanding patients’ thoughts, feelings, desires, and perspectives to improve therapeutic work. The conversation focuses on translating MBT into practical knowledge that clinicians can apply with patients, particularly those with borderline personality disorder, narcissistic personality disorder, and PTSD.</w:t>
      </w:r>
    </w:p>
    <w:p w:rsidR="004E13E4">
      <w:pPr>
        <w:bidi w:val="0"/>
        <w:spacing w:after="280" w:afterAutospacing="1"/>
        <w:rPr>
          <w:sz w:val="20"/>
          <w:szCs w:val="20"/>
        </w:rPr>
      </w:pPr>
      <w:r>
        <w:rPr>
          <w:sz w:val="20"/>
          <w:szCs w:val="20"/>
        </w:rPr>
        <w:fldChar w:fldCharType="end"/>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fldChar w:fldCharType="begin"/>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Family Medicine, Medicine, Psychiatry &amp; Human Behavior</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begin"/>
      </w:r>
      <w:r w:rsidRPr="0042796F" w:rsidR="0042796F">
        <w:rPr>
          <w:rFonts w:cstheme="minorHAnsi"/>
          <w:sz w:val="20"/>
          <w:szCs w:val="20"/>
        </w:rPr>
        <w:instrText xml:space="preserve"> IF </w:instrText>
      </w:r>
      <w:r w:rsidRPr="0042796F" w:rsidR="0042796F">
        <w:rPr>
          <w:rFonts w:cstheme="minorHAnsi"/>
          <w:sz w:val="20"/>
          <w:szCs w:val="20"/>
        </w:rPr>
        <w:instrText>"</w:instrText>
      </w:r>
      <w:r w:rsidRPr="0042796F" w:rsidR="0042796F">
        <w:rPr>
          <w:rFonts w:cstheme="minorHAnsi"/>
          <w:sz w:val="20"/>
          <w:szCs w:val="20"/>
        </w:rPr>
        <w:instrText>"</w:instrText>
      </w:r>
      <w:r w:rsidRPr="0042796F" w:rsidR="0042796F">
        <w:rPr>
          <w:rFonts w:cstheme="minorHAnsi"/>
          <w:sz w:val="20"/>
          <w:szCs w:val="20"/>
        </w:rPr>
        <w:instrText xml:space="preserve"> &lt;&gt; "" 1 0 </w:instrText>
      </w:r>
      <w:r w:rsidRPr="0042796F" w:rsidR="0042796F">
        <w:rPr>
          <w:rFonts w:cstheme="minorHAnsi"/>
          <w:sz w:val="20"/>
          <w:szCs w:val="20"/>
        </w:rPr>
        <w:fldChar w:fldCharType="separate"/>
      </w:r>
      <w:r w:rsidRPr="0042796F" w:rsidR="0042796F">
        <w:rPr>
          <w:rFonts w:cstheme="minorHAnsi"/>
          <w:sz w:val="20"/>
          <w:szCs w:val="20"/>
        </w:rPr>
        <w:instrText>0</w:instrText>
      </w:r>
      <w:r w:rsidRPr="0042796F" w:rsidR="0042796F">
        <w:rPr>
          <w:rFonts w:cstheme="minorHAnsi"/>
          <w:sz w:val="20"/>
          <w:szCs w:val="20"/>
        </w:rPr>
        <w:fldChar w:fldCharType="end"/>
      </w:r>
      <w:r w:rsidRPr="0042796F" w:rsidR="0042796F">
        <w:rPr>
          <w:rFonts w:cstheme="minorHAnsi"/>
          <w:sz w:val="20"/>
          <w:szCs w:val="20"/>
        </w:rPr>
        <w:instrText xml:space="preserve"> </w:instrText>
      </w:r>
      <w:r w:rsidRPr="0042796F" w:rsidR="0042796F">
        <w:rPr>
          <w:rFonts w:cstheme="minorHAnsi"/>
          <w:sz w:val="20"/>
          <w:szCs w:val="20"/>
        </w:rPr>
        <w:fldChar w:fldCharType="separate"/>
      </w:r>
      <w:r w:rsidRPr="0042796F" w:rsidR="0042796F">
        <w:rPr>
          <w:rFonts w:cstheme="minorHAnsi"/>
          <w:sz w:val="20"/>
          <w:szCs w:val="20"/>
        </w:rPr>
        <w:instrText>1</w:instrText>
      </w:r>
      <w:r w:rsidRPr="0042796F" w:rsidR="0042796F">
        <w:rPr>
          <w:rFonts w:cstheme="minorHAnsi"/>
          <w:sz w:val="20"/>
          <w:szCs w:val="20"/>
        </w:rPr>
        <w:fldChar w:fldCharType="end"/>
      </w:r>
      <w:r w:rsidRPr="0042796F" w:rsidR="0042796F">
        <w:rPr>
          <w:rFonts w:cstheme="minorHAnsi"/>
          <w:sz w:val="20"/>
          <w:szCs w:val="20"/>
        </w:rPr>
        <w:instrText xml:space="preserve"> &gt; 0 "</w:instrText>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instrText>Target Audience</w:instrText>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Family Medicine, Medicine, Psychiatry &amp; Human Behavior</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instrText xml:space="preserve">" "" </w:instrText>
      </w:r>
      <w:r w:rsidRPr="0042796F">
        <w:rPr>
          <w:rFonts w:cstheme="minorHAnsi"/>
          <w:sz w:val="24"/>
          <w:szCs w:val="24"/>
        </w:rPr>
        <w:fldChar w:fldCharType="separate"/>
      </w:r>
    </w:p>
    <w:p w:rsidR="0042796F" w:rsidRPr="0042796F" w:rsidP="0042796F">
      <w:pPr>
        <w:spacing w:after="0" w:line="240" w:lineRule="auto"/>
        <w:contextualSpacing/>
        <w:rPr>
          <w:rFonts w:cstheme="minorHAnsi"/>
          <w:sz w:val="24"/>
          <w:szCs w:val="24"/>
        </w:rPr>
      </w:pPr>
      <w:r w:rsidRPr="0042796F">
        <w:rPr>
          <w:rFonts w:cstheme="minorHAnsi"/>
          <w:sz w:val="24"/>
          <w:szCs w:val="24"/>
        </w:rPr>
        <w:instrText xml:space="preserve">Specialties – </w:instrText>
      </w:r>
      <w:r w:rsidRPr="0042796F">
        <w:rPr>
          <w:rFonts w:cstheme="minorHAnsi"/>
          <w:sz w:val="24"/>
          <w:szCs w:val="24"/>
        </w:rPr>
        <w:instrText>Family Medicine, Medicine, Psychiatry &amp; Human Behavior</w:instrText>
      </w:r>
      <w:r w:rsidRPr="0042796F">
        <w:rPr>
          <w:rFonts w:cstheme="minorHAnsi"/>
          <w:sz w:val="24"/>
          <w:szCs w:val="24"/>
        </w:rPr>
        <w:fldChar w:fldCharType="end"/>
      </w:r>
      <w:r w:rsidRPr="0042796F">
        <w:rPr>
          <w:rFonts w:cstheme="minorHAnsi"/>
          <w:sz w:val="24"/>
          <w:szCs w:val="24"/>
        </w:rPr>
        <w:fldChar w:fldCharType="begin"/>
      </w:r>
      <w:r w:rsidRPr="0042796F">
        <w:rPr>
          <w:rFonts w:cstheme="minorHAnsi"/>
          <w:sz w:val="24"/>
          <w:szCs w:val="24"/>
        </w:rPr>
        <w:instrText xml:space="preserve"> IF </w:instrText>
      </w:r>
      <w:r w:rsidRPr="0042796F">
        <w:rPr>
          <w:rFonts w:cstheme="minorHAnsi"/>
          <w:sz w:val="24"/>
          <w:szCs w:val="24"/>
        </w:rPr>
        <w:instrText>"</w:instrText>
      </w:r>
      <w:r w:rsidRPr="0042796F">
        <w:rPr>
          <w:rFonts w:cstheme="minorHAnsi"/>
          <w:sz w:val="24"/>
          <w:szCs w:val="24"/>
        </w:rPr>
        <w:instrText>"</w:instrText>
      </w:r>
      <w:r w:rsidRPr="0042796F">
        <w:rPr>
          <w:rFonts w:cstheme="minorHAnsi"/>
          <w:sz w:val="24"/>
          <w:szCs w:val="24"/>
        </w:rPr>
        <w:instrText xml:space="preserve"> &lt;&gt; "" "</w:instrText>
      </w:r>
    </w:p>
    <w:p w:rsidR="00B86886" w:rsidRPr="0042796F" w:rsidP="0042796F">
      <w:pPr>
        <w:spacing w:after="0" w:line="240" w:lineRule="auto"/>
        <w:contextualSpacing/>
        <w:rPr>
          <w:rFonts w:cstheme="minorHAnsi"/>
          <w:noProof/>
          <w:sz w:val="24"/>
          <w:szCs w:val="24"/>
        </w:rPr>
      </w:pPr>
      <w:r w:rsidRPr="0042796F">
        <w:rPr>
          <w:rFonts w:cstheme="minorHAnsi"/>
          <w:sz w:val="24"/>
          <w:szCs w:val="24"/>
        </w:rPr>
        <w:instrText xml:space="preserve">Professions – </w:instrText>
      </w:r>
      <w:r w:rsidRPr="0042796F">
        <w:rPr>
          <w:rFonts w:cstheme="minorHAnsi"/>
          <w:sz w:val="24"/>
          <w:szCs w:val="24"/>
        </w:rPr>
        <w:fldChar w:fldCharType="begin"/>
      </w:r>
      <w:r w:rsidRPr="0042796F">
        <w:rPr>
          <w:rFonts w:cstheme="minorHAnsi"/>
          <w:sz w:val="24"/>
          <w:szCs w:val="24"/>
        </w:rPr>
        <w:instrText xml:space="preserve"> MERGEFIELD TargetProfessions </w:instrText>
      </w:r>
      <w:r w:rsidRPr="0042796F">
        <w:rPr>
          <w:rFonts w:cstheme="minorHAnsi"/>
          <w:sz w:val="24"/>
          <w:szCs w:val="24"/>
        </w:rPr>
        <w:fldChar w:fldCharType="separate"/>
      </w:r>
      <w:r>
        <w:rPr>
          <w:rFonts w:cstheme="minorHAnsi"/>
          <w:noProof/>
          <w:sz w:val="24"/>
          <w:szCs w:val="24"/>
        </w:rPr>
        <w:instrText>«TargetProfessions»</w:instrText>
      </w:r>
      <w:r w:rsidRPr="0042796F">
        <w:rPr>
          <w:rFonts w:cstheme="minorHAnsi"/>
          <w:sz w:val="24"/>
          <w:szCs w:val="24"/>
        </w:rPr>
        <w:fldChar w:fldCharType="end"/>
      </w:r>
      <w:r w:rsidRPr="0042796F">
        <w:rPr>
          <w:rFonts w:cstheme="minorHAnsi"/>
          <w:sz w:val="24"/>
          <w:szCs w:val="24"/>
        </w:rPr>
        <w:instrText xml:space="preserve">" "" </w:instrText>
      </w:r>
      <w:r w:rsidRPr="0042796F">
        <w:rPr>
          <w:rFonts w:cstheme="minorHAnsi"/>
          <w:sz w:val="24"/>
          <w:szCs w:val="24"/>
        </w:rPr>
        <w:fldChar w:fldCharType="separate"/>
      </w:r>
      <w:r w:rsidRPr="0042796F" w:rsidR="0042796F">
        <w:rPr>
          <w:rFonts w:cstheme="minorHAnsi"/>
          <w:sz w:val="24"/>
          <w:szCs w:val="24"/>
        </w:rPr>
        <w:fldChar w:fldCharType="end"/>
      </w:r>
      <w:r w:rsidRPr="0042796F" w:rsidR="0042796F">
        <w:rPr>
          <w:rFonts w:cstheme="minorHAnsi"/>
          <w:sz w:val="20"/>
          <w:szCs w:val="20"/>
        </w:rPr>
        <w:instrText xml:space="preserve">" "" </w:instrText>
      </w:r>
      <w:r w:rsidRPr="0042796F" w:rsidR="0042796F">
        <w:rPr>
          <w:rFonts w:cstheme="minorHAnsi"/>
          <w:sz w:val="20"/>
          <w:szCs w:val="20"/>
        </w:rPr>
        <w:fldChar w:fldCharType="separate"/>
      </w:r>
    </w:p>
    <w:p w:rsidR="0042796F" w:rsidRPr="0042796F" w:rsidP="0042796F">
      <w:pPr>
        <w:spacing w:after="0" w:line="240" w:lineRule="auto"/>
        <w:contextualSpacing/>
        <w:rPr>
          <w:rFonts w:cstheme="minorHAnsi"/>
          <w:sz w:val="20"/>
          <w:szCs w:val="20"/>
        </w:rPr>
      </w:pPr>
    </w:p>
    <w:p w:rsidR="0042796F" w:rsidRPr="0042796F" w:rsidP="0042796F">
      <w:pPr>
        <w:spacing w:after="0" w:line="240" w:lineRule="auto"/>
        <w:contextualSpacing/>
        <w:rPr>
          <w:rFonts w:cstheme="minorHAnsi"/>
          <w:sz w:val="24"/>
          <w:szCs w:val="24"/>
        </w:rPr>
      </w:pPr>
      <w:r w:rsidRPr="0042796F">
        <w:rPr>
          <w:rFonts w:cstheme="minorHAnsi"/>
          <w:b/>
          <w:bCs/>
          <w:sz w:val="24"/>
          <w:szCs w:val="24"/>
        </w:rPr>
        <w:t>Target Audience</w:t>
      </w:r>
    </w:p>
    <w:p w:rsidR="0042796F" w:rsidRPr="0042796F" w:rsidP="0042796F">
      <w:pPr>
        <w:spacing w:after="0" w:line="240" w:lineRule="auto"/>
        <w:contextualSpacing/>
        <w:rPr>
          <w:rFonts w:cstheme="minorHAnsi"/>
          <w:sz w:val="24"/>
          <w:szCs w:val="24"/>
        </w:rPr>
      </w:pPr>
      <w:r w:rsidRPr="0042796F">
        <w:rPr>
          <w:rFonts w:cstheme="minorHAnsi"/>
          <w:sz w:val="24"/>
          <w:szCs w:val="24"/>
        </w:rPr>
        <w:t xml:space="preserve">Specialties – </w:t>
      </w:r>
      <w:r w:rsidRPr="0042796F">
        <w:rPr>
          <w:rFonts w:cstheme="minorHAnsi"/>
          <w:sz w:val="24"/>
          <w:szCs w:val="24"/>
        </w:rPr>
        <w:t>Family Medicine, Medicine, Psychiatry &amp; Human Behavior</w:t>
      </w:r>
      <w:r w:rsidRPr="0042796F">
        <w:rPr>
          <w:rFonts w:cstheme="minorHAnsi"/>
          <w:sz w:val="20"/>
          <w:szCs w:val="20"/>
        </w:rPr>
        <w:fldChar w:fldCharType="end"/>
      </w:r>
      <w:r w:rsidR="00467105">
        <w:rPr>
          <w:sz w:val="20"/>
          <w:szCs w:val="20"/>
        </w:rPr>
        <w:fldChar w:fldCharType="begin"/>
      </w:r>
      <w:r w:rsidR="00467105">
        <w:rPr>
          <w:sz w:val="20"/>
          <w:szCs w:val="20"/>
        </w:rPr>
        <w:instrText xml:space="preserve"> IF </w:instrText>
      </w:r>
      <w:r w:rsidR="00467105">
        <w:rPr>
          <w:sz w:val="20"/>
          <w:szCs w:val="20"/>
        </w:rPr>
        <w:instrText>"</w:instrText>
      </w:r>
      <w:r w:rsidR="00467105">
        <w:rPr>
          <w:sz w:val="20"/>
          <w:szCs w:val="20"/>
        </w:rPr>
        <w:instrText>1 Describe the core principles of Mentalization-Based Therapy (MBT), including reflective functioning, non-mentalizing modes, and the role of certainty in emotional dysregulation and interpersonal functioning.</w:instrText>
      </w: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r>
        <w:rPr>
          <w:sz w:val="20"/>
          <w:szCs w:val="20"/>
        </w:rPr>
        <w:instrText>2 Apply practical Mentalization-Based Therapy techniques to help patients increase reflective capacity, reduce rigid certainty, and improve emotional awareness in the treatment of personality disorders, insecure attachment, obsessive-compulsive disorder (OCD), and related conditions.</w:instrText>
      </w: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p>
    <w:p w:rsidR="00467105" w:rsidP="0042796F">
      <w:pPr>
        <w:spacing w:after="0" w:line="240" w:lineRule="auto"/>
        <w:contextualSpacing/>
        <w:rPr>
          <w:sz w:val="20"/>
          <w:szCs w:val="20"/>
        </w:rPr>
      </w:pPr>
      <w:r>
        <w:rPr>
          <w:sz w:val="20"/>
          <w:szCs w:val="20"/>
        </w:rPr>
        <w:instrText>3 Differentiate common barriers to mentalizing, including psychic equivalence, pretend mode, teleological thinking, intellectualization, and dissociative coping; and integrate evidence-informed interventions to foster psychological flexibility, authentic emotional experience, and healthier interpersonal relationships.</w:instrText>
      </w:r>
      <w:r>
        <w:rPr>
          <w:sz w:val="20"/>
          <w:szCs w:val="20"/>
        </w:rPr>
        <w:instrText>"</w:instrText>
      </w:r>
      <w:r>
        <w:rPr>
          <w:sz w:val="20"/>
          <w:szCs w:val="20"/>
        </w:rPr>
        <w:instrText xml:space="preserve"> &lt;&gt; "" "</w:instrText>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instrText>Activity Objectives</w:instrText>
      </w:r>
    </w:p>
    <w:p w:rsidR="00B86886" w:rsidP="0042796F">
      <w:pPr>
        <w:spacing w:after="0" w:line="240" w:lineRule="auto"/>
        <w:contextualSpacing/>
        <w:rPr>
          <w:noProof/>
          <w:sz w:val="20"/>
          <w:szCs w:val="20"/>
        </w:rPr>
      </w:pPr>
      <w:r>
        <w:rPr>
          <w:sz w:val="24"/>
          <w:szCs w:val="24"/>
        </w:rPr>
        <w:instrText>1 Describe the core principles of Mentalization-Based Therapy (MBT), including reflective functioning, non-mentalizing modes, and the role of certainty in emotional dysregulation and interpersonal functioning.</w:instrText>
      </w:r>
    </w:p>
    <w:p w:rsidP="0042796F">
      <w:pPr>
        <w:spacing w:after="0" w:line="240" w:lineRule="auto"/>
        <w:contextualSpacing/>
        <w:rPr>
          <w:sz w:val="24"/>
          <w:szCs w:val="24"/>
        </w:rPr>
      </w:pP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instrText>2 Apply practical Mentalization-Based Therapy techniques to help patients increase reflective capacity, reduce rigid certainty, and improve emotional awareness in the treatment of personality disorders, insecure attachment, obsessive-compulsive disorder (OCD), and related conditions.</w:instrText>
      </w:r>
    </w:p>
    <w:p w:rsidP="0042796F">
      <w:pPr>
        <w:spacing w:after="0" w:line="240" w:lineRule="auto"/>
        <w:contextualSpacing/>
        <w:rPr>
          <w:sz w:val="24"/>
          <w:szCs w:val="24"/>
        </w:rPr>
      </w:pP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instrText>3 Differentiate common barriers to mentalizing, including psychic equivalence, pretend mode, teleological thinking, intellectualization, and dissociative coping; and integrate evidence-informed interventions to foster psychological flexibility, authentic emotional experience, and healthier interpersonal relationships.</w:instrText>
      </w:r>
      <w:r w:rsidR="00467105">
        <w:rPr>
          <w:sz w:val="20"/>
          <w:szCs w:val="20"/>
        </w:rPr>
        <w:instrText xml:space="preserve">" "" </w:instrText>
      </w:r>
      <w:r w:rsidR="00467105">
        <w:rPr>
          <w:sz w:val="20"/>
          <w:szCs w:val="20"/>
        </w:rPr>
        <w:fldChar w:fldCharType="separate"/>
      </w:r>
    </w:p>
    <w:p w:rsidR="00F07483" w:rsidP="004F716E">
      <w:pPr>
        <w:spacing w:after="0" w:line="240" w:lineRule="auto"/>
        <w:contextualSpacing/>
        <w:rPr>
          <w:sz w:val="20"/>
          <w:szCs w:val="20"/>
        </w:rPr>
      </w:pPr>
    </w:p>
    <w:p w:rsidR="00F07483" w:rsidP="004F716E">
      <w:pPr>
        <w:spacing w:after="0" w:line="240" w:lineRule="auto"/>
        <w:contextualSpacing/>
        <w:rPr>
          <w:sz w:val="24"/>
          <w:szCs w:val="24"/>
        </w:rPr>
      </w:pPr>
      <w:r>
        <w:rPr>
          <w:b/>
          <w:bCs/>
          <w:sz w:val="24"/>
          <w:szCs w:val="24"/>
        </w:rPr>
        <w:t>Activity Objectives</w:t>
      </w:r>
    </w:p>
    <w:p w:rsidR="00B86886" w:rsidP="0042796F">
      <w:pPr>
        <w:spacing w:after="0" w:line="240" w:lineRule="auto"/>
        <w:contextualSpacing/>
        <w:rPr>
          <w:noProof/>
          <w:sz w:val="20"/>
          <w:szCs w:val="20"/>
        </w:rPr>
      </w:pPr>
      <w:r>
        <w:rPr>
          <w:sz w:val="24"/>
          <w:szCs w:val="24"/>
        </w:rPr>
        <w:t>1 Describe the core principles of Mentalization-Based Therapy (MBT), including reflective functioning, non-mentalizing modes, and the role of certainty in emotional dysregulation and interpersonal functioning.</w:t>
      </w:r>
    </w:p>
    <w:p w:rsidP="0042796F">
      <w:pPr>
        <w:spacing w:after="0" w:line="240" w:lineRule="auto"/>
        <w:contextualSpacing/>
        <w:rPr>
          <w:sz w:val="24"/>
          <w:szCs w:val="24"/>
        </w:rPr>
      </w:pPr>
    </w:p>
    <w:p w:rsidP="0042796F">
      <w:pPr>
        <w:spacing w:after="0" w:line="240" w:lineRule="auto"/>
        <w:contextualSpacing/>
        <w:rPr>
          <w:sz w:val="24"/>
          <w:szCs w:val="24"/>
        </w:rPr>
      </w:pPr>
    </w:p>
    <w:p w:rsidP="0042796F">
      <w:pPr>
        <w:spacing w:after="0" w:line="240" w:lineRule="auto"/>
        <w:contextualSpacing/>
        <w:rPr>
          <w:sz w:val="24"/>
          <w:szCs w:val="24"/>
        </w:rPr>
      </w:pPr>
      <w:r>
        <w:rPr>
          <w:sz w:val="24"/>
          <w:szCs w:val="24"/>
        </w:rPr>
        <w:t>2 Apply practical Mentalization-Based Therapy techniques to help patients increase reflective capacity, reduce rigid certainty, and improve emotional awareness in the treatment of personality disorders, insecure attachment, obsessive-compulsive disorder (OCD), and related conditions.</w:t>
      </w:r>
    </w:p>
    <w:p w:rsidP="0042796F">
      <w:pPr>
        <w:spacing w:after="0" w:line="240" w:lineRule="auto"/>
        <w:contextualSpacing/>
        <w:rPr>
          <w:sz w:val="24"/>
          <w:szCs w:val="24"/>
        </w:rPr>
      </w:pPr>
    </w:p>
    <w:p w:rsidP="0042796F">
      <w:pPr>
        <w:spacing w:after="0" w:line="240" w:lineRule="auto"/>
        <w:contextualSpacing/>
        <w:rPr>
          <w:sz w:val="24"/>
          <w:szCs w:val="24"/>
        </w:rPr>
      </w:pPr>
    </w:p>
    <w:p w:rsidR="00467105" w:rsidP="0042796F">
      <w:pPr>
        <w:spacing w:after="0" w:line="240" w:lineRule="auto"/>
        <w:contextualSpacing/>
        <w:rPr>
          <w:sz w:val="20"/>
          <w:szCs w:val="20"/>
        </w:rPr>
      </w:pPr>
      <w:r>
        <w:rPr>
          <w:sz w:val="24"/>
          <w:szCs w:val="24"/>
        </w:rPr>
        <w:t>3 Differentiate common barriers to mentalizing, including psychic equivalence, pretend mode, teleological thinking, intellectualization, and dissociative coping; and integrate evidence-informed interventions to foster psychological flexibility, authentic emotional experience, and healthier interpersonal relationships.</w:t>
      </w:r>
      <w:r>
        <w:rPr>
          <w:sz w:val="20"/>
          <w:szCs w:val="20"/>
        </w:rPr>
        <w:fldChar w:fldCharType="end"/>
      </w:r>
    </w:p>
    <w:p w:rsidR="004F716E" w:rsidP="004F716E">
      <w:pPr>
        <w:spacing w:after="0" w:line="240" w:lineRule="auto"/>
        <w:contextualSpacing/>
        <w:rPr>
          <w:sz w:val="20"/>
          <w:szCs w:val="20"/>
        </w:rPr>
      </w:pPr>
    </w:p>
    <w:p w:rsidR="004F716E" w:rsidRPr="00CC147B" w:rsidP="004F716E">
      <w:pPr>
        <w:spacing w:after="0" w:line="240" w:lineRule="auto"/>
        <w:contextualSpacing/>
        <w:rPr>
          <w:b/>
          <w:bCs/>
          <w:sz w:val="24"/>
          <w:szCs w:val="24"/>
        </w:rPr>
      </w:pPr>
      <w:r>
        <w:rPr>
          <w:b/>
          <w:bCs/>
          <w:sz w:val="24"/>
          <w:szCs w:val="24"/>
        </w:rPr>
        <w:t>Accreditation Statement</w:t>
      </w:r>
    </w:p>
    <w:p w:rsidR="004F716E" w:rsidRPr="00CC147B" w:rsidP="004F716E">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Emotion Connection, LLC</w:instrText>
      </w:r>
      <w:r>
        <w:rPr>
          <w:sz w:val="24"/>
          <w:szCs w:val="24"/>
        </w:rPr>
        <w:instrText>"</w:instrText>
      </w:r>
      <w:r>
        <w:rPr>
          <w:sz w:val="24"/>
          <w:szCs w:val="24"/>
        </w:rPr>
        <w:instrText xml:space="preserve"> &lt;&gt; "" "</w:instrText>
      </w:r>
      <w:r w:rsidRPr="00D46C0D" w:rsidR="00D46C0D">
        <w:rPr>
          <w:rFonts w:ascii="Aleo Light" w:hAnsi="Aleo Light"/>
          <w:color w:val="000000"/>
          <w:shd w:val="clear" w:color="auto" w:fill="FFFFFF"/>
        </w:rPr>
        <w:instrText xml:space="preserve"> </w:instrText>
      </w:r>
      <w:r w:rsidRPr="00D46C0D" w:rsidR="00D46C0D">
        <w:rPr>
          <w:sz w:val="24"/>
          <w:szCs w:val="24"/>
        </w:rPr>
        <w:instrTex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instrText>
      </w:r>
      <w:r w:rsidR="00B86886">
        <w:rPr>
          <w:noProof/>
          <w:sz w:val="24"/>
          <w:szCs w:val="24"/>
        </w:rPr>
        <w:instrText>Emotion Connection</w:instrText>
      </w:r>
      <w:r w:rsidR="002B69BD">
        <w:rPr>
          <w:sz w:val="24"/>
          <w:szCs w:val="24"/>
        </w:rPr>
        <w:instrText>, LLC</w:instrText>
      </w:r>
      <w:r w:rsidRPr="00D46C0D" w:rsidR="00D46C0D">
        <w:rPr>
          <w:sz w:val="24"/>
          <w:szCs w:val="24"/>
        </w:rPr>
        <w:instrText>.  The University of California, Irvine School of Medicine is accredited by the ACCME to provide continuing medical education for physicians.</w:instrText>
      </w:r>
      <w:r>
        <w:rPr>
          <w:sz w:val="24"/>
          <w:szCs w:val="24"/>
        </w:rPr>
        <w:instrText>" "</w:instrText>
      </w:r>
      <w:r w:rsidRPr="00CC147B">
        <w:rPr>
          <w:sz w:val="24"/>
          <w:szCs w:val="24"/>
        </w:rPr>
        <w:instrText>The University of California, Irvine School of Medicine is accredited by the Accreditation Council for Continuing Medical Education</w:instrText>
      </w:r>
      <w:r>
        <w:rPr>
          <w:sz w:val="24"/>
          <w:szCs w:val="24"/>
        </w:rPr>
        <w:instrText xml:space="preserve">" </w:instrText>
      </w:r>
      <w:r>
        <w:rPr>
          <w:sz w:val="24"/>
          <w:szCs w:val="24"/>
        </w:rPr>
        <w:fldChar w:fldCharType="separate"/>
      </w:r>
      <w:r w:rsidRPr="00D46C0D" w:rsidR="00D46C0D">
        <w:rPr>
          <w:rFonts w:ascii="Aleo Light" w:hAnsi="Aleo Light"/>
          <w:color w:val="000000"/>
          <w:shd w:val="clear" w:color="auto" w:fill="FFFFFF"/>
        </w:rPr>
        <w:t xml:space="preserve"> </w:t>
      </w:r>
      <w:r w:rsidRPr="00D46C0D" w:rsidR="00D46C0D">
        <w:rPr>
          <w:sz w:val="24"/>
          <w:szCs w:val="24"/>
        </w:rPr>
        <w:t xml:space="preserve">This activity has been planned and implemented in accordance with the accreditation requirements and policies of the Accreditation Council for Continuing Medical Education (ACCME) through the joint providership of the University of California, Irvine School of Medicine and </w:t>
      </w:r>
      <w:r w:rsidR="00B86886">
        <w:rPr>
          <w:noProof/>
          <w:sz w:val="24"/>
          <w:szCs w:val="24"/>
        </w:rPr>
        <w:t>Emotion Connection</w:t>
      </w:r>
      <w:r w:rsidR="002B69BD">
        <w:rPr>
          <w:sz w:val="24"/>
          <w:szCs w:val="24"/>
        </w:rPr>
        <w:t>, LLC</w:t>
      </w:r>
      <w:r w:rsidRPr="00D46C0D" w:rsidR="00D46C0D">
        <w:rPr>
          <w:sz w:val="24"/>
          <w:szCs w:val="24"/>
        </w:rPr>
        <w:t>.  The University of California, Irvine School of Medicine is accredited by the ACCME to provide continuing medical education for physicians.</w:t>
      </w:r>
      <w:r>
        <w:rPr>
          <w:sz w:val="24"/>
          <w:szCs w:val="24"/>
        </w:rPr>
        <w:fldChar w:fldCharType="end"/>
      </w:r>
      <w:r>
        <w:rPr>
          <w:sz w:val="24"/>
          <w:szCs w:val="24"/>
        </w:rPr>
        <w:t xml:space="preserve"> to provide continuing medical education for physicians.</w:t>
      </w:r>
    </w:p>
    <w:p w:rsidR="004F716E" w:rsidP="004F716E">
      <w:pPr>
        <w:spacing w:after="0" w:line="240" w:lineRule="auto"/>
        <w:contextualSpacing/>
        <w:rPr>
          <w:sz w:val="20"/>
          <w:szCs w:val="20"/>
        </w:rPr>
      </w:pPr>
    </w:p>
    <w:p w:rsidR="004F716E" w:rsidP="004F716E">
      <w:pPr>
        <w:spacing w:after="0" w:line="240" w:lineRule="auto"/>
        <w:contextualSpacing/>
        <w:rPr>
          <w:b/>
          <w:bCs/>
          <w:sz w:val="24"/>
          <w:szCs w:val="24"/>
        </w:rPr>
      </w:pPr>
      <w:r>
        <w:rPr>
          <w:b/>
          <w:bCs/>
          <w:sz w:val="24"/>
          <w:szCs w:val="24"/>
        </w:rPr>
        <w:t>Designation Statement</w:t>
      </w:r>
    </w:p>
    <w:p w:rsidR="00CC147B" w:rsidRPr="00CC147B" w:rsidP="004F716E">
      <w:pPr>
        <w:spacing w:after="0" w:line="240" w:lineRule="auto"/>
        <w:contextualSpacing/>
        <w:rPr>
          <w:sz w:val="24"/>
          <w:szCs w:val="24"/>
        </w:rPr>
      </w:pPr>
      <w:r w:rsidRPr="00CC147B">
        <w:rPr>
          <w:sz w:val="24"/>
          <w:szCs w:val="24"/>
        </w:rPr>
        <w:t xml:space="preserve">The University of California, Irvine School of Medicine designates this </w:t>
      </w:r>
      <w:r>
        <w:rPr>
          <w:sz w:val="24"/>
          <w:szCs w:val="24"/>
        </w:rPr>
        <w:fldChar w:fldCharType="begin"/>
      </w:r>
      <w:r>
        <w:rPr>
          <w:sz w:val="24"/>
          <w:szCs w:val="24"/>
        </w:rPr>
        <w:instrText xml:space="preserve"> IF </w:instrText>
      </w:r>
      <w:r>
        <w:rPr>
          <w:sz w:val="24"/>
          <w:szCs w:val="24"/>
        </w:rPr>
        <w:instrText>"</w:instrText>
      </w:r>
      <w:r>
        <w:rPr>
          <w:sz w:val="24"/>
          <w:szCs w:val="24"/>
        </w:rPr>
        <w:instrText>Enduring Material</w:instrText>
      </w:r>
      <w:r>
        <w:rPr>
          <w:sz w:val="24"/>
          <w:szCs w:val="24"/>
        </w:rPr>
        <w:instrText>"</w:instrText>
      </w:r>
      <w:r>
        <w:rPr>
          <w:sz w:val="24"/>
          <w:szCs w:val="24"/>
        </w:rPr>
        <w:instrText xml:space="preserve"> &lt;&gt; "" "</w:instrText>
      </w:r>
      <w:r>
        <w:rPr>
          <w:sz w:val="24"/>
          <w:szCs w:val="24"/>
        </w:rPr>
        <w:instrText>Enduring Material</w:instrText>
      </w:r>
      <w:r>
        <w:rPr>
          <w:sz w:val="24"/>
          <w:szCs w:val="24"/>
        </w:rPr>
        <w:instrText xml:space="preserve">" "activity" </w:instrText>
      </w:r>
      <w:r>
        <w:rPr>
          <w:sz w:val="24"/>
          <w:szCs w:val="24"/>
        </w:rPr>
        <w:fldChar w:fldCharType="separate"/>
      </w:r>
      <w:r>
        <w:rPr>
          <w:sz w:val="24"/>
          <w:szCs w:val="24"/>
        </w:rPr>
        <w:t>Enduring Material</w:t>
      </w:r>
      <w:r>
        <w:rPr>
          <w:sz w:val="24"/>
          <w:szCs w:val="24"/>
        </w:rPr>
        <w:fldChar w:fldCharType="end"/>
      </w:r>
      <w:r w:rsidRPr="00CC147B">
        <w:rPr>
          <w:sz w:val="24"/>
          <w:szCs w:val="24"/>
        </w:rPr>
        <w:t xml:space="preserve"> for a maximum of </w:t>
      </w:r>
      <w:r>
        <w:rPr>
          <w:sz w:val="24"/>
          <w:szCs w:val="24"/>
        </w:rPr>
        <w:t>1.50</w:t>
      </w:r>
      <w:r w:rsidRPr="00CC147B">
        <w:rPr>
          <w:sz w:val="24"/>
          <w:szCs w:val="24"/>
        </w:rPr>
        <w:t xml:space="preserve"> </w:t>
      </w:r>
      <w:r w:rsidRPr="00CC147B">
        <w:rPr>
          <w:i/>
          <w:iCs/>
          <w:sz w:val="24"/>
          <w:szCs w:val="24"/>
        </w:rPr>
        <w:t>AMA PRA Category 1 Credit(s)</w:t>
      </w:r>
      <w:r w:rsidRPr="00CC147B">
        <w:rPr>
          <w:sz w:val="24"/>
          <w:szCs w:val="24"/>
        </w:rPr>
        <w:t>™. Physicians should claim only the credit commensurate with the extent of their participation in the activity.</w:t>
      </w:r>
    </w:p>
    <w:p w:rsidR="004F716E" w:rsidP="004F716E">
      <w:pPr>
        <w:spacing w:after="0" w:line="240" w:lineRule="auto"/>
        <w:contextualSpacing/>
        <w:rPr>
          <w:sz w:val="20"/>
          <w:szCs w:val="20"/>
        </w:rPr>
      </w:pPr>
    </w:p>
    <w:p w:rsidR="00CC147B" w:rsidRPr="00CC147B" w:rsidP="00CC147B">
      <w:pPr>
        <w:spacing w:after="0" w:line="240" w:lineRule="auto"/>
        <w:contextualSpacing/>
        <w:rPr>
          <w:b/>
          <w:bCs/>
          <w:sz w:val="24"/>
          <w:szCs w:val="24"/>
        </w:rPr>
      </w:pPr>
      <w:r w:rsidRPr="00CC147B">
        <w:rPr>
          <w:b/>
          <w:bCs/>
          <w:sz w:val="24"/>
          <w:szCs w:val="24"/>
        </w:rPr>
        <w:t>California Assembly Bill 1195 and 241</w:t>
      </w:r>
    </w:p>
    <w:p w:rsidR="00B74E46" w:rsidRPr="00830DFB" w:rsidP="00B74E46">
      <w:pPr>
        <w:spacing w:after="0" w:line="240" w:lineRule="auto"/>
        <w:contextualSpacing/>
        <w:rPr>
          <w:sz w:val="24"/>
          <w:szCs w:val="24"/>
        </w:rPr>
      </w:pPr>
      <w:r w:rsidRPr="00CC147B">
        <w:rPr>
          <w:sz w:val="24"/>
          <w:szCs w:val="24"/>
        </w:rPr>
        <w:t xml:space="preserve">This activity </w:t>
      </w:r>
      <w:r w:rsidRPr="00CC147B">
        <w:rPr>
          <w:sz w:val="24"/>
          <w:szCs w:val="24"/>
        </w:rPr>
        <w:t>is in compliance with</w:t>
      </w:r>
      <w:r w:rsidRPr="00CC147B">
        <w:rPr>
          <w:sz w:val="24"/>
          <w:szCs w:val="24"/>
        </w:rPr>
        <w:t xml:space="preserve"> California Assembly Bill 1195 and 241, which require CME activities with patient care components to include curriculum in the subjects of cultural and linguistic competency &amp; implicit bias. It is the intent of AB 1195 and AB 241 to encourage physicians and surgeons, CME providers in the State of California, and the Accreditation Council for Continuing Medical Education to meet the cultural and linguistic concerns of a diverse patient population and reduce health disparities through appropriate professional development. Please see the CME website, </w:t>
      </w:r>
      <w:r>
        <w:fldChar w:fldCharType="begin"/>
      </w:r>
      <w:r>
        <w:instrText xml:space="preserve"> HYPERLINK "https://www.meded.uci.edu/CME/" </w:instrText>
      </w:r>
      <w:r>
        <w:fldChar w:fldCharType="separate"/>
      </w:r>
      <w:r w:rsidRPr="007312E1" w:rsidR="007312E1">
        <w:rPr>
          <w:rStyle w:val="Hyperlink"/>
          <w:sz w:val="24"/>
          <w:szCs w:val="24"/>
        </w:rPr>
        <w:t>https://www.meded.uci.edu/CME/</w:t>
      </w:r>
      <w:r>
        <w:fldChar w:fldCharType="end"/>
      </w:r>
      <w:r w:rsidR="007312E1">
        <w:rPr>
          <w:sz w:val="24"/>
          <w:szCs w:val="24"/>
        </w:rPr>
        <w:t xml:space="preserve"> </w:t>
      </w:r>
      <w:r w:rsidRPr="00CC147B">
        <w:rPr>
          <w:sz w:val="24"/>
          <w:szCs w:val="24"/>
        </w:rPr>
        <w:t>for AB 1195 and AB 241 resources.</w:t>
      </w:r>
      <w:r w:rsidRPr="00B74E46">
        <w:rPr>
          <w:sz w:val="20"/>
          <w:szCs w:val="20"/>
        </w:rPr>
        <w:t xml:space="preserve"> </w: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 </w:instrText>
      </w:r>
      <w:r>
        <w:rPr>
          <w:sz w:val="20"/>
          <w:szCs w:val="20"/>
        </w:rPr>
        <w:instrText>0.00</w:instrText>
      </w:r>
      <w:r>
        <w:rPr>
          <w:sz w:val="20"/>
          <w:szCs w:val="20"/>
        </w:rPr>
        <w:instrText xml:space="preserve"> </w:instrText>
      </w:r>
      <w:r>
        <w:rPr>
          <w:sz w:val="20"/>
          <w:szCs w:val="20"/>
        </w:rPr>
        <w:fldChar w:fldCharType="separate"/>
      </w:r>
      <w:r>
        <w:rPr>
          <w:sz w:val="20"/>
          <w:szCs w:val="20"/>
        </w:rPr>
        <w:instrText>0</w:instrText>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b/>
          <w:bCs/>
          <w:sz w:val="24"/>
          <w:szCs w:val="24"/>
        </w:rPr>
        <w:instrText>MOC Statement(s)</w:instrText>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ABAHoursMax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8240" behindDoc="0" locked="1" layoutInCell="1" allowOverlap="1">
            <wp:simplePos x="0" y="0"/>
            <wp:positionH relativeFrom="column">
              <wp:posOffset>1905</wp:posOffset>
            </wp:positionH>
            <wp:positionV relativeFrom="paragraph">
              <wp:posOffset>14605</wp:posOffset>
            </wp:positionV>
            <wp:extent cx="1522095" cy="539115"/>
            <wp:effectExtent l="0" t="0" r="1905" b="0"/>
            <wp:wrapSquare wrapText="bothSides"/>
            <wp:docPr id="2084115252" name="Picture 2084115252" descr="MO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OCA"/>
                    <pic:cNvPicPr/>
                  </pic:nvPicPr>
                  <pic:blipFill>
                    <a:blip xmlns:r="http://schemas.openxmlformats.org/officeDocument/2006/relationships" r:embed="rId4" cstate="hqprint">
                      <a:extLst>
                        <a:ext uri="{28A0092B-C50C-407E-A947-70E740481C1C}">
                          <a14:useLocalDpi xmlns:a14="http://schemas.microsoft.com/office/drawing/2010/main" val="0"/>
                        </a:ext>
                      </a:extLst>
                    </a:blip>
                    <a:stretch>
                      <a:fillRect/>
                    </a:stretch>
                  </pic:blipFill>
                  <pic:spPr>
                    <a:xfrm>
                      <a:off x="0" y="0"/>
                      <a:ext cx="1522095" cy="539115"/>
                    </a:xfrm>
                    <a:prstGeom prst="rect">
                      <a:avLst/>
                    </a:prstGeom>
                  </pic:spPr>
                </pic:pic>
              </a:graphicData>
            </a:graphic>
          </wp:anchor>
        </w:drawing>
      </w:r>
      <w:r w:rsidRPr="00830DFB">
        <w:rPr>
          <w:sz w:val="24"/>
          <w:szCs w:val="24"/>
        </w:rPr>
        <w:instrText xml:space="preserve">This activity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ABAPSHoursMax </w:instrText>
      </w:r>
      <w:r w:rsidRPr="00830DFB">
        <w:rPr>
          <w:sz w:val="24"/>
          <w:szCs w:val="24"/>
        </w:rPr>
        <w:fldChar w:fldCharType="separate"/>
      </w:r>
      <w:r w:rsidRPr="00830DFB">
        <w:rPr>
          <w:sz w:val="24"/>
          <w:szCs w:val="24"/>
        </w:rPr>
        <w:fldChar w:fldCharType="end"/>
      </w:r>
      <w:r w:rsidRPr="00830DFB">
        <w:rPr>
          <w:sz w:val="24"/>
          <w:szCs w:val="24"/>
        </w:rPr>
        <w:instrText xml:space="preserve"> &gt; 0 "offers up to</w:instrText>
      </w:r>
      <w:r>
        <w:rPr>
          <w:sz w:val="24"/>
          <w:szCs w:val="24"/>
        </w:rPr>
        <w:instrText xml:space="preserve"> </w:instrText>
      </w:r>
      <w:r>
        <w:rPr>
          <w:sz w:val="24"/>
          <w:szCs w:val="24"/>
        </w:rPr>
        <w:fldChar w:fldCharType="begin"/>
      </w:r>
      <w:r>
        <w:rPr>
          <w:sz w:val="24"/>
          <w:szCs w:val="24"/>
        </w:rPr>
        <w:instrText xml:space="preserve"> MERGEFIELD ABAHoursMax \# 0.00# </w:instrText>
      </w:r>
      <w:r>
        <w:rPr>
          <w:sz w:val="24"/>
          <w:szCs w:val="24"/>
        </w:rPr>
        <w:fldChar w:fldCharType="separate"/>
      </w:r>
      <w:r>
        <w:rPr>
          <w:sz w:val="24"/>
          <w:szCs w:val="24"/>
        </w:rPr>
        <w:fldChar w:fldCharType="end"/>
      </w:r>
      <w:r w:rsidRPr="00830DFB">
        <w:rPr>
          <w:sz w:val="24"/>
          <w:szCs w:val="24"/>
        </w:rPr>
        <w:instrText xml:space="preserve"> CME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of which </w:instrText>
      </w:r>
      <w:r>
        <w:rPr>
          <w:sz w:val="24"/>
          <w:szCs w:val="24"/>
        </w:rPr>
        <w:fldChar w:fldCharType="begin"/>
      </w:r>
      <w:r>
        <w:rPr>
          <w:sz w:val="24"/>
          <w:szCs w:val="24"/>
        </w:rPr>
        <w:instrText xml:space="preserve"> MERGEFIELD ABAPSHoursMax \# 0.00# </w:instrText>
      </w:r>
      <w:r>
        <w:rPr>
          <w:sz w:val="24"/>
          <w:szCs w:val="24"/>
        </w:rPr>
        <w:fldChar w:fldCharType="separate"/>
      </w:r>
      <w:r>
        <w:rPr>
          <w:sz w:val="24"/>
          <w:szCs w:val="24"/>
        </w:rPr>
        <w:fldChar w:fldCharType="end"/>
      </w:r>
      <w:r w:rsidRPr="00830DFB">
        <w:rPr>
          <w:sz w:val="24"/>
          <w:szCs w:val="24"/>
        </w:rPr>
        <w:instrText xml:space="preserve"> credit</w:instrText>
      </w:r>
      <w:r>
        <w:rPr>
          <w:sz w:val="24"/>
          <w:szCs w:val="24"/>
        </w:rPr>
        <w:instrText>(</w:instrText>
      </w:r>
      <w:r w:rsidRPr="00830DFB">
        <w:rPr>
          <w:sz w:val="24"/>
          <w:szCs w:val="24"/>
        </w:rPr>
        <w:instrText>s</w:instrText>
      </w:r>
      <w:r>
        <w:rPr>
          <w:sz w:val="24"/>
          <w:szCs w:val="24"/>
        </w:rPr>
        <w:instrText>)</w:instrText>
      </w:r>
      <w:r w:rsidRPr="00830DFB">
        <w:rPr>
          <w:sz w:val="24"/>
          <w:szCs w:val="24"/>
        </w:rPr>
        <w:instrText xml:space="preserve"> contribute the patient safety" "</w:instrText>
      </w:r>
      <w:r>
        <w:rPr>
          <w:sz w:val="24"/>
          <w:szCs w:val="24"/>
        </w:rPr>
        <w:instrText>contributes to the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CME component </w:instrText>
      </w:r>
      <w:r w:rsidRPr="00554859">
        <w:rPr>
          <w:sz w:val="24"/>
          <w:szCs w:val="24"/>
        </w:rPr>
        <w:instrText>of the American Board of Anesthesiology’s redesigned Maintenance of Certification in Anesthesiology</w:instrText>
      </w:r>
      <w:r>
        <w:rPr>
          <w:rFonts w:cstheme="minorHAnsi"/>
          <w:sz w:val="24"/>
          <w:szCs w:val="24"/>
        </w:rPr>
        <w:instrText>™</w:instrText>
      </w:r>
      <w:r w:rsidRPr="00554859">
        <w:rPr>
          <w:sz w:val="24"/>
          <w:szCs w:val="24"/>
        </w:rPr>
        <w:instrText xml:space="preserve"> (MOCA®) program, known as MOCA 2.0®. Please consult the ABA website, </w:instrText>
      </w:r>
      <w:r>
        <w:fldChar w:fldCharType="begin"/>
      </w:r>
      <w:r>
        <w:instrText xml:space="preserve"> HYPERLINK "https://www.theaba.org/" </w:instrText>
      </w:r>
      <w:r>
        <w:fldChar w:fldCharType="separate"/>
      </w:r>
      <w:r w:rsidRPr="00554859">
        <w:rPr>
          <w:rStyle w:val="Hyperlink"/>
          <w:sz w:val="24"/>
          <w:szCs w:val="24"/>
        </w:rPr>
        <w:instrText>https://www.theaba.org/</w:instrText>
      </w:r>
      <w:r>
        <w:fldChar w:fldCharType="end"/>
      </w:r>
      <w:r w:rsidRPr="00554859">
        <w:rPr>
          <w:sz w:val="24"/>
          <w:szCs w:val="24"/>
        </w:rPr>
        <w:instrText>, for a list of all MOCA 2.0 requirements.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2336" behindDoc="0" locked="1" layoutInCell="1" allowOverlap="1">
            <wp:simplePos x="0" y="0"/>
            <wp:positionH relativeFrom="column">
              <wp:posOffset>0</wp:posOffset>
            </wp:positionH>
            <wp:positionV relativeFrom="paragraph">
              <wp:posOffset>39370</wp:posOffset>
            </wp:positionV>
            <wp:extent cx="1522095" cy="492760"/>
            <wp:effectExtent l="0" t="0" r="1905" b="2540"/>
            <wp:wrapSquare wrapText="bothSides"/>
            <wp:docPr id="128631735" name="Picture 128631735"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31735" name="Picture 128631735" descr="A close-up of a sign&#10;&#10;AI-generated content may be incorrect."/>
                    <pic:cNvPicPr/>
                  </pic:nvPicPr>
                  <pic:blipFill>
                    <a:blip xmlns:r="http://schemas.openxmlformats.org/officeDocument/2006/relationships" r:embed="rId5" cstate="hqprint">
                      <a:extLst>
                        <a:ext uri="{28A0092B-C50C-407E-A947-70E740481C1C}">
                          <a14:useLocalDpi xmlns:a14="http://schemas.microsoft.com/office/drawing/2010/main" val="0"/>
                        </a:ext>
                      </a:extLst>
                    </a:blip>
                    <a:stretch>
                      <a:fillRect/>
                    </a:stretch>
                  </pic:blipFill>
                  <pic:spPr>
                    <a:xfrm>
                      <a:off x="0" y="0"/>
                      <a:ext cx="1522095" cy="492760"/>
                    </a:xfrm>
                    <a:prstGeom prst="rect">
                      <a:avLst/>
                    </a:prstGeom>
                  </pic:spPr>
                </pic:pic>
              </a:graphicData>
            </a:graphic>
          </wp:anchor>
        </w:drawing>
      </w:r>
      <w:r w:rsidRPr="002844AD">
        <w:rPr>
          <w:noProof/>
          <w:sz w:val="24"/>
          <w:szCs w:val="24"/>
        </w:rPr>
        <w:instrText>Successful completion of this CME activity</w:instrText>
      </w:r>
      <w:r w:rsidRPr="00830DFB">
        <w:rPr>
          <w:sz w:val="24"/>
          <w:szCs w:val="24"/>
        </w:rPr>
        <w:instrText xml:space="preserve"> </w:instrText>
      </w:r>
      <w:r w:rsidRPr="00830DFB">
        <w:rPr>
          <w:sz w:val="24"/>
          <w:szCs w:val="24"/>
        </w:rPr>
        <w:fldChar w:fldCharType="begin"/>
      </w:r>
      <w:r w:rsidRPr="00830DFB">
        <w:rPr>
          <w:sz w:val="24"/>
          <w:szCs w:val="24"/>
        </w:rPr>
        <w:instrText xml:space="preserve"> IF </w:instrText>
      </w:r>
      <w:r w:rsidRPr="00830DFB">
        <w:rPr>
          <w:sz w:val="24"/>
          <w:szCs w:val="24"/>
        </w:rPr>
        <w:fldChar w:fldCharType="begin"/>
      </w:r>
      <w:r w:rsidRPr="00830DFB">
        <w:rPr>
          <w:sz w:val="24"/>
          <w:szCs w:val="24"/>
        </w:rPr>
        <w:instrText xml:space="preserve"> MERGEFIELD A</w:instrText>
      </w:r>
      <w:r>
        <w:rPr>
          <w:sz w:val="24"/>
          <w:szCs w:val="24"/>
        </w:rPr>
        <w:instrText>BSCCSAM</w:instrText>
      </w:r>
      <w:r w:rsidRPr="00830DFB">
        <w:rPr>
          <w:sz w:val="24"/>
          <w:szCs w:val="24"/>
        </w:rPr>
        <w:instrText xml:space="preserve">Max </w:instrText>
      </w:r>
      <w:r w:rsidRPr="00830DFB">
        <w:rPr>
          <w:sz w:val="24"/>
          <w:szCs w:val="24"/>
        </w:rPr>
        <w:fldChar w:fldCharType="separate"/>
      </w:r>
      <w:r w:rsidRPr="00830DFB">
        <w:rPr>
          <w:sz w:val="24"/>
          <w:szCs w:val="24"/>
        </w:rPr>
        <w:fldChar w:fldCharType="end"/>
      </w:r>
      <w:r w:rsidRPr="00830DFB">
        <w:rPr>
          <w:sz w:val="24"/>
          <w:szCs w:val="24"/>
        </w:rPr>
        <w:instrText xml:space="preserve"> &gt; 0 "</w:instrText>
      </w:r>
      <w:r w:rsidRPr="002844AD">
        <w:rPr>
          <w:sz w:val="24"/>
          <w:szCs w:val="24"/>
        </w:rPr>
        <w:instrText>, which includes participation in the evaluation component, enables the learner to earn credit toward the CME and Self-Assessment</w:instrText>
      </w:r>
      <w:r w:rsidRPr="00830DFB">
        <w:rPr>
          <w:sz w:val="24"/>
          <w:szCs w:val="24"/>
        </w:rPr>
        <w:instrText>" "</w:instrText>
      </w:r>
      <w:r>
        <w:rPr>
          <w:sz w:val="24"/>
          <w:szCs w:val="24"/>
        </w:rPr>
        <w:instrText>,</w:instrText>
      </w:r>
      <w:r w:rsidRPr="002844AD">
        <w:rPr>
          <w:sz w:val="24"/>
          <w:szCs w:val="24"/>
        </w:rPr>
        <w:instrText>enables the learner to earn credit toward the CME</w:instrText>
      </w:r>
      <w:r w:rsidRPr="00830DFB">
        <w:rPr>
          <w:sz w:val="24"/>
          <w:szCs w:val="24"/>
        </w:rPr>
        <w:instrText xml:space="preserve">" </w:instrText>
      </w:r>
      <w:r w:rsidRPr="00830DFB">
        <w:rPr>
          <w:sz w:val="24"/>
          <w:szCs w:val="24"/>
        </w:rPr>
        <w:fldChar w:fldCharType="separate"/>
      </w:r>
      <w:r w:rsidRPr="00830DFB">
        <w:rPr>
          <w:sz w:val="24"/>
          <w:szCs w:val="24"/>
        </w:rPr>
        <w:fldChar w:fldCharType="end"/>
      </w:r>
      <w:r>
        <w:rPr>
          <w:sz w:val="24"/>
          <w:szCs w:val="24"/>
        </w:rPr>
        <w:instrText xml:space="preserve"> </w:instrText>
      </w:r>
      <w:r w:rsidRPr="002844AD">
        <w:rPr>
          <w:sz w:val="24"/>
          <w:szCs w:val="24"/>
        </w:rPr>
        <w:instrText>requirement(s) of the American Board of Surgery’s Continuous Certification program. It is the CME activity provider's responsibility to submit learner completion information to ACCME for the purpose of granting ABS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ABIM2HoursMax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ABIM4HoursMax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59264" behindDoc="0" locked="1" layoutInCell="1" allowOverlap="1">
            <wp:simplePos x="0" y="0"/>
            <wp:positionH relativeFrom="column">
              <wp:posOffset>1905</wp:posOffset>
            </wp:positionH>
            <wp:positionV relativeFrom="paragraph">
              <wp:posOffset>4445</wp:posOffset>
            </wp:positionV>
            <wp:extent cx="1501140" cy="507365"/>
            <wp:effectExtent l="0" t="0" r="3810" b="6985"/>
            <wp:wrapSquare wrapText="bothSides"/>
            <wp:docPr id="3" name="Picture 3" descr="ABIM&#10;CME&#10;MOC&#10;Accredi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IM&#10;CME&#10;MOC&#10;Accredited"/>
                    <pic:cNvPicPr/>
                  </pic:nvPicPr>
                  <pic:blipFill>
                    <a:blip xmlns:r="http://schemas.openxmlformats.org/officeDocument/2006/relationships" r:embed="rId6" cstate="hqprint">
                      <a:extLst>
                        <a:ext uri="{28A0092B-C50C-407E-A947-70E740481C1C}">
                          <a14:useLocalDpi xmlns:a14="http://schemas.microsoft.com/office/drawing/2010/main" val="0"/>
                        </a:ext>
                      </a:extLst>
                    </a:blip>
                    <a:stretch>
                      <a:fillRect/>
                    </a:stretch>
                  </pic:blipFill>
                  <pic:spPr>
                    <a:xfrm>
                      <a:off x="0" y="0"/>
                      <a:ext cx="1501140" cy="507365"/>
                    </a:xfrm>
                    <a:prstGeom prst="rect">
                      <a:avLst/>
                    </a:prstGeom>
                  </pic:spPr>
                </pic:pic>
              </a:graphicData>
            </a:graphic>
          </wp:anchor>
        </w:drawing>
      </w:r>
      <w:r w:rsidRPr="00092945">
        <w:rPr>
          <w:sz w:val="24"/>
          <w:szCs w:val="24"/>
        </w:rPr>
        <w:instrText xml:space="preserve">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ABIM2HoursMax </w:instrText>
      </w:r>
      <w:r>
        <w:rPr>
          <w:sz w:val="24"/>
          <w:szCs w:val="24"/>
        </w:rPr>
        <w:fldChar w:fldCharType="separate"/>
      </w:r>
      <w:r>
        <w:rPr>
          <w:sz w:val="24"/>
          <w:szCs w:val="24"/>
        </w:rPr>
        <w:fldChar w:fldCharType="end"/>
      </w:r>
      <w:r>
        <w:rPr>
          <w:sz w:val="24"/>
          <w:szCs w:val="24"/>
        </w:rPr>
        <w:instrText xml:space="preserve"> &gt; 0 "</w:instrText>
      </w:r>
      <w:r>
        <w:rPr>
          <w:sz w:val="24"/>
          <w:szCs w:val="24"/>
        </w:rPr>
        <w:fldChar w:fldCharType="begin"/>
      </w:r>
      <w:r>
        <w:rPr>
          <w:sz w:val="24"/>
          <w:szCs w:val="24"/>
        </w:rPr>
        <w:instrText xml:space="preserve"> MERGEFIELD ABIM2HoursMax \# 0.00# </w:instrText>
      </w:r>
      <w:r>
        <w:rPr>
          <w:sz w:val="24"/>
          <w:szCs w:val="24"/>
        </w:rPr>
        <w:fldChar w:fldCharType="separate"/>
      </w:r>
      <w:r>
        <w:rPr>
          <w:sz w:val="24"/>
          <w:szCs w:val="24"/>
        </w:rPr>
        <w:fldChar w:fldCharType="end"/>
      </w:r>
      <w:r>
        <w:rPr>
          <w:sz w:val="24"/>
          <w:szCs w:val="24"/>
        </w:rPr>
        <w:instrText>" "</w:instrText>
      </w:r>
      <w:r>
        <w:rPr>
          <w:sz w:val="24"/>
          <w:szCs w:val="24"/>
        </w:rPr>
        <w:fldChar w:fldCharType="begin"/>
      </w:r>
      <w:r>
        <w:rPr>
          <w:sz w:val="24"/>
          <w:szCs w:val="24"/>
        </w:rPr>
        <w:instrText xml:space="preserve"> MERGEFIELD ABIM4HoursMax \# 0.00# </w:instrText>
      </w:r>
      <w:r>
        <w:rPr>
          <w:sz w:val="24"/>
          <w:szCs w:val="24"/>
        </w:rPr>
        <w:fldChar w:fldCharType="separate"/>
      </w:r>
      <w:r>
        <w:rPr>
          <w:sz w:val="24"/>
          <w:szCs w:val="24"/>
        </w:rPr>
        <w:fldChar w:fldCharType="end"/>
      </w:r>
      <w:r>
        <w:rPr>
          <w:sz w:val="24"/>
          <w:szCs w:val="24"/>
        </w:rPr>
        <w:instrText xml:space="preserve">" </w:instrText>
      </w:r>
      <w:r>
        <w:rPr>
          <w:sz w:val="24"/>
          <w:szCs w:val="24"/>
        </w:rPr>
        <w:fldChar w:fldCharType="separate"/>
      </w:r>
      <w:r>
        <w:rPr>
          <w:sz w:val="24"/>
          <w:szCs w:val="24"/>
        </w:rPr>
        <w:fldChar w:fldCharType="end"/>
      </w:r>
      <w:r w:rsidRPr="00092945">
        <w:rPr>
          <w:sz w:val="24"/>
          <w:szCs w:val="24"/>
        </w:rPr>
        <w:instrText xml:space="preserve"> MOC point</w:instrText>
      </w:r>
      <w:r>
        <w:rPr>
          <w:sz w:val="24"/>
          <w:szCs w:val="24"/>
        </w:rPr>
        <w:instrText xml:space="preserve">(s) </w:instrText>
      </w:r>
      <w:r>
        <w:rPr>
          <w:sz w:val="24"/>
          <w:szCs w:val="24"/>
        </w:rPr>
        <w:fldChar w:fldCharType="begin"/>
      </w:r>
      <w:r>
        <w:rPr>
          <w:sz w:val="24"/>
          <w:szCs w:val="24"/>
        </w:rPr>
        <w:instrText xml:space="preserve"> IF </w:instrText>
      </w:r>
      <w:r>
        <w:rPr>
          <w:sz w:val="24"/>
          <w:szCs w:val="24"/>
        </w:rPr>
        <w:fldChar w:fldCharType="begin"/>
      </w:r>
      <w:r>
        <w:rPr>
          <w:sz w:val="24"/>
          <w:szCs w:val="24"/>
        </w:rPr>
        <w:instrText xml:space="preserve"> MERGEFIELD ABIMPSHoursMax </w:instrText>
      </w:r>
      <w:r>
        <w:rPr>
          <w:sz w:val="24"/>
          <w:szCs w:val="24"/>
        </w:rPr>
        <w:fldChar w:fldCharType="separate"/>
      </w:r>
      <w:r>
        <w:rPr>
          <w:sz w:val="24"/>
          <w:szCs w:val="24"/>
        </w:rPr>
        <w:fldChar w:fldCharType="end"/>
      </w:r>
      <w:r>
        <w:rPr>
          <w:sz w:val="24"/>
          <w:szCs w:val="24"/>
        </w:rPr>
        <w:instrText xml:space="preserve"> &gt; 0 "and patient safety MOC credit" "" </w:instrText>
      </w:r>
      <w:r>
        <w:rPr>
          <w:sz w:val="24"/>
          <w:szCs w:val="24"/>
        </w:rPr>
        <w:fldChar w:fldCharType="separate"/>
      </w:r>
      <w:r>
        <w:rPr>
          <w:sz w:val="24"/>
          <w:szCs w:val="24"/>
        </w:rPr>
        <w:fldChar w:fldCharType="end"/>
      </w:r>
      <w:r w:rsidRPr="00092945">
        <w:instrText xml:space="preserve"> </w:instrText>
      </w:r>
      <w:r w:rsidRPr="00092945">
        <w:rPr>
          <w:sz w:val="24"/>
          <w:szCs w:val="24"/>
        </w:rPr>
        <w:instrText>in the American Board of Internal Medicine’s (ABIM) Maintenance of Certification (MOC) program. It is the CME activity provider’s responsibility to submit participant completion information to ACCME for the purpose of granting ABIM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ABOHNSHoursMax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sidRPr="00E010EA">
        <w:rPr>
          <w:sz w:val="24"/>
          <w:szCs w:val="24"/>
        </w:rPr>
        <w:instrText xml:space="preserve">Successful completion of this CME activity, which includes participation in the evaluation component, enables the participant to earn their required annual part II self-assessment credit in the American Board of Otolaryngology – Head and Neck Surgery’s Continuing Certification program (formerly known as MOC). It is the CME activity provider's responsibility to submit participant completion information to ACCME for the purpose of recognizing participation." </w:instrText>
      </w:r>
      <w:r>
        <w:rPr>
          <w:sz w:val="20"/>
          <w:szCs w:val="20"/>
        </w:rPr>
        <w:instrText xml:space="preserve">""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ABPathHoursMax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0288" behindDoc="0" locked="1" layoutInCell="1" allowOverlap="1">
            <wp:simplePos x="0" y="0"/>
            <wp:positionH relativeFrom="column">
              <wp:posOffset>1905</wp:posOffset>
            </wp:positionH>
            <wp:positionV relativeFrom="paragraph">
              <wp:posOffset>25400</wp:posOffset>
            </wp:positionV>
            <wp:extent cx="1115060" cy="685800"/>
            <wp:effectExtent l="0" t="0" r="8890" b="0"/>
            <wp:wrapSquare wrapText="bothSides"/>
            <wp:docPr id="5" name="Picture 5" descr="CME for&#10;ABPath 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ME for&#10;ABPath CC"/>
                    <pic:cNvPicPr/>
                  </pic:nvPicPr>
                  <pic:blipFill rotWithShape="1">
                    <a:blip xmlns:r="http://schemas.openxmlformats.org/officeDocument/2006/relationships" r:embed="rId7" cstate="hqprint">
                      <a:extLst>
                        <a:ext uri="{28A0092B-C50C-407E-A947-70E740481C1C}">
                          <a14:useLocalDpi xmlns:a14="http://schemas.microsoft.com/office/drawing/2010/main" val="0"/>
                        </a:ext>
                      </a:extLst>
                    </a:blip>
                    <a:srcRect b="30172"/>
                    <a:stretch/>
                  </pic:blipFill>
                  <pic:spPr bwMode="auto">
                    <a:xfrm>
                      <a:off x="0" y="0"/>
                      <a:ext cx="1115060" cy="68580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This activity has been registered for American Board of Pathology’s Continuing Certification program. Successful completion of this CME activity, which includes participation in the evaluation component, enables the participant to earn up to </w:instrText>
      </w:r>
      <w:r>
        <w:rPr>
          <w:sz w:val="24"/>
          <w:szCs w:val="24"/>
        </w:rPr>
        <w:fldChar w:fldCharType="begin"/>
      </w:r>
      <w:r>
        <w:rPr>
          <w:sz w:val="24"/>
          <w:szCs w:val="24"/>
        </w:rPr>
        <w:instrText xml:space="preserve"> MERGEFIELD ABPathHoursMax \# 0.00# </w:instrText>
      </w:r>
      <w:r>
        <w:rPr>
          <w:sz w:val="24"/>
          <w:szCs w:val="24"/>
        </w:rPr>
        <w:fldChar w:fldCharType="separate"/>
      </w:r>
      <w:r>
        <w:rPr>
          <w:sz w:val="24"/>
          <w:szCs w:val="24"/>
        </w:rPr>
        <w:fldChar w:fldCharType="end"/>
      </w:r>
      <w:r w:rsidRPr="00E010EA">
        <w:rPr>
          <w:sz w:val="24"/>
          <w:szCs w:val="24"/>
        </w:rPr>
        <w:instrText xml:space="preserve"> Lifelong Learning (CME)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Pathology’s Continuing Certification program. It is the CME activity provider’s responsibility to submit participant completion information to ACCME for the purpose of granting ABPath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0"/>
          <w:szCs w:val="20"/>
        </w:rPr>
      </w:pPr>
      <w:r>
        <w:rPr>
          <w:noProof/>
          <w:sz w:val="24"/>
          <w:szCs w:val="24"/>
        </w:rPr>
        <w:drawing>
          <wp:anchor distT="0" distB="0" distL="114300" distR="114300" simplePos="0" relativeHeight="251661312" behindDoc="0" locked="1" layoutInCell="1" allowOverlap="1">
            <wp:simplePos x="0" y="0"/>
            <wp:positionH relativeFrom="column">
              <wp:posOffset>1905</wp:posOffset>
            </wp:positionH>
            <wp:positionV relativeFrom="paragraph">
              <wp:posOffset>4445</wp:posOffset>
            </wp:positionV>
            <wp:extent cx="1005840" cy="830580"/>
            <wp:effectExtent l="0" t="0" r="3810" b="7620"/>
            <wp:wrapSquare wrapText="bothSides"/>
            <wp:docPr id="10" name="Picture 10" descr="Part 2&#10;MOC&#10;The American Board of Pediatr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art 2&#10;MOC&#10;The American Board of Pediatrics"/>
                    <pic:cNvPicPr/>
                  </pic:nvPicPr>
                  <pic:blipFill rotWithShape="1">
                    <a:blip xmlns:r="http://schemas.openxmlformats.org/officeDocument/2006/relationships" r:embed="rId8">
                      <a:extLst>
                        <a:ext uri="{28A0092B-C50C-407E-A947-70E740481C1C}">
                          <a14:useLocalDpi xmlns:a14="http://schemas.microsoft.com/office/drawing/2010/main" val="0"/>
                        </a:ext>
                      </a:extLst>
                    </a:blip>
                    <a:srcRect t="8755" b="8604"/>
                    <a:stretch/>
                  </pic:blipFill>
                  <pic:spPr bwMode="auto">
                    <a:xfrm>
                      <a:off x="0" y="0"/>
                      <a:ext cx="1005840" cy="830580"/>
                    </a:xfrm>
                    <a:prstGeom prst="rect">
                      <a:avLst/>
                    </a:prstGeom>
                    <a:ln>
                      <a:noFill/>
                    </a:ln>
                    <a:extLst>
                      <a:ext uri="{53640926-AAD7-44D8-BBD7-CCE9431645EC}">
                        <a14:shadowObscured xmlns:a14="http://schemas.microsoft.com/office/drawing/2010/main"/>
                      </a:ext>
                    </a:extLst>
                  </pic:spPr>
                </pic:pic>
              </a:graphicData>
            </a:graphic>
          </wp:anchor>
        </w:drawing>
      </w:r>
      <w:r w:rsidRPr="00E010EA">
        <w:rPr>
          <w:sz w:val="24"/>
          <w:szCs w:val="24"/>
        </w:rPr>
        <w:instrText xml:space="preserve">Successful completion of this CME activity, which includes participation in the evaluation component, enables the learner to earn up to </w:instrText>
      </w:r>
      <w:r>
        <w:rPr>
          <w:sz w:val="24"/>
          <w:szCs w:val="24"/>
        </w:rPr>
        <w:fldChar w:fldCharType="begin"/>
      </w:r>
      <w:r>
        <w:rPr>
          <w:sz w:val="24"/>
          <w:szCs w:val="24"/>
        </w:rPr>
        <w:instrText xml:space="preserve"> MERGEFIELD ABPHoursMax \# 0.00# </w:instrText>
      </w:r>
      <w:r>
        <w:rPr>
          <w:sz w:val="24"/>
          <w:szCs w:val="24"/>
        </w:rPr>
        <w:fldChar w:fldCharType="separate"/>
      </w:r>
      <w:r>
        <w:rPr>
          <w:sz w:val="24"/>
          <w:szCs w:val="24"/>
        </w:rPr>
        <w:fldChar w:fldCharType="end"/>
      </w:r>
      <w:r w:rsidRPr="00E010EA">
        <w:rPr>
          <w:sz w:val="24"/>
          <w:szCs w:val="24"/>
        </w:rPr>
        <w:instrText xml:space="preserve"> MOC point</w:instrText>
      </w:r>
      <w:r>
        <w:rPr>
          <w:sz w:val="24"/>
          <w:szCs w:val="24"/>
        </w:rPr>
        <w:instrText>(</w:instrText>
      </w:r>
      <w:r w:rsidRPr="00E010EA">
        <w:rPr>
          <w:sz w:val="24"/>
          <w:szCs w:val="24"/>
        </w:rPr>
        <w:instrText>s</w:instrText>
      </w:r>
      <w:r>
        <w:rPr>
          <w:sz w:val="24"/>
          <w:szCs w:val="24"/>
        </w:rPr>
        <w:instrText>)</w:instrText>
      </w:r>
      <w:r w:rsidRPr="00E010EA">
        <w:rPr>
          <w:sz w:val="24"/>
          <w:szCs w:val="24"/>
        </w:rPr>
        <w:instrText xml:space="preserve"> in the American Board of Pediatrics’ (ABP) Maintenance of Certification (MOC) program. It is the CME activity provider’s responsibility to submit learner completion information to ACCME for the purpose of granting ABP MOC credit.</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p>
    <w:p w:rsidR="00B74E46" w:rsidP="00B74E46">
      <w:pPr>
        <w:spacing w:after="0" w:line="240" w:lineRule="auto"/>
        <w:contextualSpacing/>
        <w:rPr>
          <w:sz w:val="24"/>
          <w:szCs w:val="24"/>
        </w:rPr>
      </w:pPr>
      <w:r w:rsidRPr="000063DA">
        <w:rPr>
          <w:sz w:val="24"/>
          <w:szCs w:val="24"/>
        </w:rPr>
        <w:instrText>Through the American Board of Medical Specialties (“ABMS”) ongoing commitment to increase access to practice relevant Continuing Certification Activities through the</w:instrText>
      </w:r>
      <w:r>
        <w:rPr>
          <w:sz w:val="24"/>
          <w:szCs w:val="24"/>
        </w:rPr>
        <w:instrText xml:space="preserve"> </w:instrText>
      </w:r>
      <w:r>
        <w:fldChar w:fldCharType="begin"/>
      </w:r>
      <w:r>
        <w:instrText xml:space="preserve"> HYPERLINK "https://www.continuingcertification.org/" </w:instrText>
      </w:r>
      <w:r>
        <w:fldChar w:fldCharType="separate"/>
      </w:r>
      <w:r w:rsidRPr="000063DA">
        <w:rPr>
          <w:rStyle w:val="Hyperlink"/>
          <w:sz w:val="24"/>
          <w:szCs w:val="24"/>
        </w:rPr>
        <w:instrText>ABMS Continuing Certification Directory</w:instrText>
      </w:r>
      <w:r>
        <w:fldChar w:fldCharType="end"/>
      </w:r>
      <w:r>
        <w:rPr>
          <w:sz w:val="24"/>
          <w:szCs w:val="24"/>
        </w:rPr>
        <w:instrText xml:space="preserve">, this activity </w:instrText>
      </w:r>
      <w:r w:rsidRPr="000063DA">
        <w:rPr>
          <w:sz w:val="24"/>
          <w:szCs w:val="24"/>
        </w:rPr>
        <w:instrText xml:space="preserve">has met the requirements as a </w:instrText>
      </w:r>
      <w:r w:rsidRPr="000063DA">
        <w:rPr>
          <w:b/>
          <w:bCs/>
          <w:sz w:val="24"/>
          <w:szCs w:val="24"/>
        </w:rPr>
        <w:instrText xml:space="preserve">Lifelong Learning CME Activity </w:instrText>
      </w:r>
      <w:r w:rsidRPr="000063DA">
        <w:rPr>
          <w:sz w:val="24"/>
          <w:szCs w:val="24"/>
        </w:rPr>
        <w:instrText>(apply toward general CME requirement) for the following ABMS Member Boards:</w:instrText>
      </w:r>
    </w:p>
    <w:p w:rsidR="00B74E46" w:rsidP="00B74E46">
      <w:pPr>
        <w:spacing w:after="0" w:line="240" w:lineRule="auto"/>
        <w:contextualSpacing/>
        <w:rPr>
          <w:sz w:val="20"/>
          <w:szCs w:val="20"/>
        </w:rPr>
      </w:pP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ABFMHoursMax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ABFM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ABFMHoursMax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ABPMRHoursMax </w:instrText>
      </w:r>
      <w:r>
        <w:rPr>
          <w:sz w:val="20"/>
          <w:szCs w:val="20"/>
        </w:rPr>
        <w:fldChar w:fldCharType="separate"/>
      </w:r>
      <w:r>
        <w:rPr>
          <w:sz w:val="20"/>
          <w:szCs w:val="20"/>
        </w:rPr>
        <w:fldChar w:fldCharType="end"/>
      </w:r>
      <w:r>
        <w:rPr>
          <w:sz w:val="20"/>
          <w:szCs w:val="20"/>
        </w:rPr>
        <w:instrText xml:space="preserve"> &gt; 0 "</w:instrText>
      </w:r>
    </w:p>
    <w:p w:rsidR="00B74E46" w:rsidP="00B74E46">
      <w:pPr>
        <w:spacing w:after="0" w:line="240" w:lineRule="auto"/>
        <w:contextualSpacing/>
        <w:rPr>
          <w:sz w:val="20"/>
          <w:szCs w:val="20"/>
        </w:rPr>
      </w:pPr>
      <w:r>
        <w:rPr>
          <w:sz w:val="24"/>
          <w:szCs w:val="24"/>
        </w:rPr>
        <w:instrText xml:space="preserve">ABPMR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ABPMRHoursMax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fldChar w:fldCharType="begin"/>
      </w:r>
      <w:r>
        <w:rPr>
          <w:sz w:val="20"/>
          <w:szCs w:val="20"/>
        </w:rPr>
        <w:instrText xml:space="preserve"> IF </w:instrText>
      </w:r>
      <w:r>
        <w:rPr>
          <w:sz w:val="20"/>
          <w:szCs w:val="20"/>
        </w:rPr>
        <w:fldChar w:fldCharType="begin"/>
      </w:r>
      <w:r>
        <w:rPr>
          <w:sz w:val="20"/>
          <w:szCs w:val="20"/>
        </w:rPr>
        <w:instrText xml:space="preserve"> MERGEFIELD ABPNHoursMax </w:instrText>
      </w:r>
      <w:r>
        <w:rPr>
          <w:sz w:val="20"/>
          <w:szCs w:val="20"/>
        </w:rPr>
        <w:fldChar w:fldCharType="separate"/>
      </w:r>
      <w:r>
        <w:rPr>
          <w:sz w:val="20"/>
          <w:szCs w:val="20"/>
        </w:rPr>
        <w:fldChar w:fldCharType="end"/>
      </w:r>
      <w:r>
        <w:rPr>
          <w:sz w:val="20"/>
          <w:szCs w:val="20"/>
        </w:rPr>
        <w:instrText xml:space="preserve"> &gt; 0 "</w:instrText>
      </w:r>
    </w:p>
    <w:p w:rsidR="00B86886" w:rsidRPr="00EB5DB5" w:rsidP="00B86886">
      <w:pPr>
        <w:spacing w:after="0" w:line="240" w:lineRule="auto"/>
        <w:contextualSpacing/>
        <w:rPr>
          <w:sz w:val="24"/>
          <w:szCs w:val="24"/>
        </w:rPr>
      </w:pPr>
      <w:r>
        <w:rPr>
          <w:sz w:val="24"/>
          <w:szCs w:val="24"/>
        </w:rPr>
        <w:instrText xml:space="preserve">ABPN </w:instrText>
      </w:r>
      <w:r>
        <w:rPr>
          <w:rFonts w:cstheme="minorHAnsi"/>
          <w:sz w:val="24"/>
          <w:szCs w:val="24"/>
        </w:rPr>
        <w:instrText>–</w:instrText>
      </w:r>
      <w:r>
        <w:rPr>
          <w:sz w:val="24"/>
          <w:szCs w:val="24"/>
        </w:rPr>
        <w:instrText xml:space="preserve"> </w:instrText>
      </w:r>
      <w:r>
        <w:rPr>
          <w:sz w:val="24"/>
          <w:szCs w:val="24"/>
        </w:rPr>
        <w:fldChar w:fldCharType="begin"/>
      </w:r>
      <w:r>
        <w:rPr>
          <w:sz w:val="24"/>
          <w:szCs w:val="24"/>
        </w:rPr>
        <w:instrText xml:space="preserve"> MERGEFIELD ABPNHoursMax \# 0.00# </w:instrText>
      </w:r>
      <w:r>
        <w:rPr>
          <w:sz w:val="24"/>
          <w:szCs w:val="24"/>
        </w:rPr>
        <w:fldChar w:fldCharType="separate"/>
      </w:r>
      <w:r>
        <w:rPr>
          <w:sz w:val="24"/>
          <w:szCs w:val="24"/>
        </w:rPr>
        <w:fldChar w:fldCharType="end"/>
      </w:r>
      <w:r>
        <w:rPr>
          <w:sz w:val="24"/>
          <w:szCs w:val="24"/>
        </w:rPr>
        <w:instrText xml:space="preserve"> credit(s)</w:instrText>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Pr>
          <w:sz w:val="20"/>
          <w:szCs w:val="20"/>
        </w:rPr>
        <w:instrText xml:space="preserve">" "" </w:instrText>
      </w:r>
      <w:r>
        <w:rPr>
          <w:sz w:val="20"/>
          <w:szCs w:val="20"/>
        </w:rPr>
        <w:fldChar w:fldCharType="separate"/>
      </w:r>
      <w:r>
        <w:rPr>
          <w:sz w:val="20"/>
          <w:szCs w:val="20"/>
        </w:rPr>
        <w:fldChar w:fldCharType="end"/>
      </w:r>
      <w:r w:rsidRPr="00EB5DB5">
        <w:rPr>
          <w:sz w:val="24"/>
          <w:szCs w:val="24"/>
        </w:rPr>
        <w:fldChar w:fldCharType="begin"/>
      </w:r>
      <w:r w:rsidRPr="00EB5DB5">
        <w:rPr>
          <w:sz w:val="24"/>
          <w:szCs w:val="24"/>
        </w:rPr>
        <w:instrText xml:space="preserve"> IF </w:instrText>
      </w:r>
      <w:r w:rsidRPr="00EB5DB5">
        <w:rPr>
          <w:sz w:val="24"/>
          <w:szCs w:val="24"/>
        </w:rPr>
        <w:instrText>0.00</w:instrText>
      </w:r>
      <w:r w:rsidRPr="00EB5DB5">
        <w:rPr>
          <w:sz w:val="24"/>
          <w:szCs w:val="24"/>
        </w:rPr>
        <w:instrText xml:space="preserve"> &gt; 0 "</w:instrText>
      </w:r>
    </w:p>
    <w:p w:rsidR="00B86886" w:rsidRPr="00EB5DB5" w:rsidP="00B86886">
      <w:pPr>
        <w:spacing w:after="0" w:line="240" w:lineRule="auto"/>
        <w:contextualSpacing/>
        <w:rPr>
          <w:sz w:val="24"/>
          <w:szCs w:val="24"/>
        </w:rPr>
      </w:pPr>
    </w:p>
    <w:p w:rsidR="00B74E46" w:rsidRPr="000063DA" w:rsidP="00B86886">
      <w:pPr>
        <w:spacing w:after="0" w:line="240" w:lineRule="auto"/>
        <w:contextualSpacing/>
        <w:rPr>
          <w:sz w:val="24"/>
          <w:szCs w:val="24"/>
        </w:rPr>
      </w:pPr>
      <w:r w:rsidRPr="00EB5DB5">
        <w:rPr>
          <w:noProof/>
          <w:sz w:val="24"/>
          <w:szCs w:val="24"/>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731520" cy="804672"/>
            <wp:effectExtent l="0" t="0" r="5080" b="0"/>
            <wp:wrapSquare wrapText="right"/>
            <wp:docPr id="9271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03230" name="Picture 927103230"/>
                    <pic:cNvPicPr/>
                  </pic:nvPicPr>
                  <pic:blipFill>
                    <a:blip xmlns:r="http://schemas.openxmlformats.org/officeDocument/2006/relationships" r:embed="rId9">
                      <a:extLst>
                        <a:ext uri="{28A0092B-C50C-407E-A947-70E740481C1C}">
                          <a14:useLocalDpi xmlns:a14="http://schemas.microsoft.com/office/drawing/2010/main" val="0"/>
                        </a:ext>
                      </a:extLst>
                    </a:blip>
                    <a:stretch>
                      <a:fillRect/>
                    </a:stretch>
                  </pic:blipFill>
                  <pic:spPr>
                    <a:xfrm>
                      <a:off x="0" y="0"/>
                      <a:ext cx="731520" cy="804672"/>
                    </a:xfrm>
                    <a:prstGeom prst="rect">
                      <a:avLst/>
                    </a:prstGeom>
                  </pic:spPr>
                </pic:pic>
              </a:graphicData>
            </a:graphic>
          </wp:anchor>
        </w:drawing>
      </w:r>
      <w:r w:rsidRPr="00EB5DB5">
        <w:rPr>
          <w:sz w:val="24"/>
          <w:szCs w:val="24"/>
        </w:rPr>
        <w:instrText xml:space="preserve">Successful completion of this CME activity enables the learner to earn credit toward the CME of the American Board of Thoracic Surgery’s Continuing Education Certification program. It is the CME activity provider’s responsibility to submit learner completion information to ACCME for the purpose of granting ABTS credit." "" </w:instrText>
      </w:r>
      <w:r w:rsidRPr="00EB5DB5">
        <w:rPr>
          <w:sz w:val="24"/>
          <w:szCs w:val="24"/>
        </w:rPr>
        <w:fldChar w:fldCharType="separate"/>
      </w:r>
      <w:r w:rsidRPr="00EB5DB5">
        <w:rPr>
          <w:sz w:val="24"/>
          <w:szCs w:val="24"/>
        </w:rPr>
        <w:fldChar w:fldCharType="end"/>
      </w:r>
    </w:p>
    <w:p w:rsidR="004F716E" w:rsidP="00B74E46">
      <w:pPr>
        <w:spacing w:after="0" w:line="240" w:lineRule="auto"/>
        <w:contextualSpacing/>
        <w:rPr>
          <w:sz w:val="20"/>
          <w:szCs w:val="20"/>
        </w:rPr>
      </w:pPr>
    </w:p>
    <w:p w:rsidR="001420EC" w:rsidP="004F716E">
      <w:pPr>
        <w:spacing w:after="0" w:line="240" w:lineRule="auto"/>
        <w:contextualSpacing/>
        <w:rPr>
          <w:sz w:val="24"/>
          <w:szCs w:val="24"/>
        </w:rPr>
      </w:pPr>
      <w:r>
        <w:rPr>
          <w:b/>
          <w:bCs/>
          <w:sz w:val="24"/>
          <w:szCs w:val="24"/>
        </w:rPr>
        <w:t>Faculty &amp; Planner</w:t>
      </w:r>
      <w:r>
        <w:rPr>
          <w:b/>
          <w:bCs/>
          <w:sz w:val="24"/>
          <w:szCs w:val="24"/>
        </w:rPr>
        <w:t xml:space="preserve"> Disclosures</w:t>
      </w:r>
    </w:p>
    <w:p w:rsidR="001420EC" w:rsidP="004F716E">
      <w:pPr>
        <w:spacing w:after="0" w:line="240" w:lineRule="auto"/>
        <w:contextualSpacing/>
        <w:rPr>
          <w:sz w:val="24"/>
          <w:szCs w:val="24"/>
        </w:rPr>
      </w:pPr>
      <w:r w:rsidRPr="001420EC">
        <w:rPr>
          <w:sz w:val="24"/>
          <w:szCs w:val="24"/>
        </w:rPr>
        <w:t>University of California, Irvine School of Medicine Continuing Medical Education adheres to the ACCME’s Standards for Integrity and Independence in Accredited Continuing Education. Any individuals in a position to control the content of a CE activity, including faculty, planners, reviewers, or others are required to disclose all relevant financial relationships with ineligible entities (commercial interests). All relevant conflicts of interest have been mitigated prior to the commencement of the activity.</w:t>
      </w:r>
    </w:p>
    <w:p w:rsidR="001420EC" w:rsidRPr="001420EC" w:rsidP="004F716E">
      <w:pPr>
        <w:spacing w:after="0" w:line="240" w:lineRule="auto"/>
        <w:contextualSpacing/>
        <w:rPr>
          <w:sz w:val="20"/>
          <w:szCs w:val="20"/>
        </w:rPr>
      </w:pPr>
    </w:p>
    <w:tbl>
      <w:tblPr>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
      <w:tblGrid>
        <w:gridCol w:w="3213"/>
        <w:gridCol w:w="3213"/>
        <w:gridCol w:w="4284"/>
      </w:tblGrid>
      <w:tr>
        <w:tblPrEx>
          <w:tblW w:w="5000" w:type="pct"/>
          <w:jc w:val="left"/>
          <w:tblCellSpacing w:w="15" w:type="dxa"/>
          <w:tblInd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PrEx>
        <w:trPr>
          <w:tblCellSpacing w:w="15" w:type="dxa"/>
          <w:jc w:val="left"/>
        </w:trPr>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Name of individual</w:t>
            </w:r>
          </w:p>
        </w:tc>
        <w:tc>
          <w:tcPr>
            <w:tcW w:w="15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Individual's role in activity</w:t>
            </w:r>
          </w:p>
        </w:tc>
        <w:tc>
          <w:tcPr>
            <w:tcW w:w="2000" w:type="pct"/>
            <w:tcBorders>
              <w:top w:val="outset" w:sz="6" w:space="0" w:color="auto"/>
              <w:left w:val="outset" w:sz="6" w:space="0" w:color="auto"/>
              <w:bottom w:val="outset" w:sz="6" w:space="0" w:color="auto"/>
              <w:right w:val="outset" w:sz="6" w:space="0" w:color="auto"/>
            </w:tcBorders>
            <w:shd w:val="clear" w:color="auto" w:fill="F5F5F5"/>
            <w:vAlign w:val="center"/>
          </w:tcPr>
          <w:p>
            <w:pPr>
              <w:bidi w:val="0"/>
              <w:spacing w:after="0" w:afterAutospacing="0"/>
              <w:jc w:val="center"/>
              <w:rPr>
                <w:rtl w:val="0"/>
              </w:rPr>
            </w:pPr>
            <w:r>
              <w:rPr>
                <w:b/>
                <w:rtl w:val="0"/>
              </w:rPr>
              <w:t>Nature of Relationship(s) / Name of Ineligible Company(s)</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Joanie Burns, Other, DNP, APRN, PMHNP-BC</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- 01/04/2026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Robert Drozek, Other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Royalties or Patent Beneficiary-Author of book about MPT|Other: Mentalization Coach Mobile App - 07/23/2026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Annabel Kuhn,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Other Planning Committee Member</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- 01/05/2026</w:t>
            </w:r>
          </w:p>
        </w:tc>
      </w:tr>
      <w:tr>
        <w:tblPrEx>
          <w:tblW w:w="5000" w:type="pct"/>
          <w:jc w:val="left"/>
          <w:tblCellSpacing w:w="15" w:type="dxa"/>
          <w:tblInd w:w="0" w:type="dxa"/>
          <w:tblCellMar>
            <w:top w:w="15" w:type="dxa"/>
            <w:left w:w="15" w:type="dxa"/>
            <w:bottom w:w="15" w:type="dxa"/>
            <w:right w:w="15" w:type="dxa"/>
          </w:tblCellMar>
        </w:tblPrEx>
        <w:trPr>
          <w:tblCellSpacing w:w="15" w:type="dxa"/>
          <w:jc w:val="left"/>
        </w:trPr>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David Puder, MD</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Faculty</w:t>
            </w:r>
          </w:p>
        </w:tc>
        <w:tc>
          <w:tcPr>
            <w:tcBorders>
              <w:top w:val="outset" w:sz="6" w:space="0" w:color="auto"/>
              <w:left w:val="outset" w:sz="6" w:space="0" w:color="auto"/>
              <w:bottom w:val="outset" w:sz="6" w:space="0" w:color="auto"/>
              <w:right w:val="outset" w:sz="6" w:space="0" w:color="auto"/>
            </w:tcBorders>
            <w:vAlign w:val="center"/>
          </w:tcPr>
          <w:p>
            <w:pPr>
              <w:bidi w:val="0"/>
              <w:spacing w:after="0" w:afterAutospacing="0"/>
              <w:jc w:val="left"/>
              <w:rPr>
                <w:rtl w:val="0"/>
              </w:rPr>
            </w:pPr>
            <w:r>
              <w:rPr>
                <w:rtl w:val="0"/>
              </w:rPr>
              <w:t>Nothing to disclose - 12/21/2025</w:t>
            </w:r>
          </w:p>
        </w:tc>
      </w:tr>
    </w:tbl>
    <w:p w:rsidR="004F716E">
      <w:pPr>
        <w:bidi w:val="0"/>
        <w:spacing w:after="280" w:afterAutospacing="1"/>
        <w:rPr>
          <w:sz w:val="20"/>
          <w:szCs w:val="20"/>
        </w:rPr>
      </w:pP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Agenda</w:t>
      </w:r>
    </w:p>
    <w:p w:rsidR="004F716E" w:rsidRPr="00302AD4" w:rsidP="004F716E">
      <w:pPr>
        <w:spacing w:after="0" w:line="240" w:lineRule="auto"/>
        <w:contextualSpacing/>
        <w:rPr>
          <w:b/>
          <w:bCs/>
          <w:sz w:val="20"/>
          <w:szCs w:val="20"/>
        </w:rPr>
      </w:pPr>
      <w:r>
        <w:rPr>
          <w:b/>
          <w:bCs/>
          <w:sz w:val="20"/>
          <w:szCs w:val="20"/>
        </w:rPr>
        <w:t>[INSERT AGENDA HERE MANUALLY]</w:t>
      </w:r>
    </w:p>
    <w:p w:rsidR="004F716E" w:rsidP="004F716E">
      <w:pPr>
        <w:spacing w:after="0" w:line="240" w:lineRule="auto"/>
        <w:contextualSpacing/>
        <w:rPr>
          <w:sz w:val="20"/>
          <w:szCs w:val="20"/>
        </w:rPr>
      </w:pPr>
    </w:p>
    <w:p w:rsidR="004F716E" w:rsidRPr="00302AD4" w:rsidP="004F716E">
      <w:pPr>
        <w:spacing w:after="0" w:line="240" w:lineRule="auto"/>
        <w:contextualSpacing/>
        <w:rPr>
          <w:b/>
          <w:bCs/>
          <w:sz w:val="24"/>
          <w:szCs w:val="24"/>
        </w:rPr>
      </w:pPr>
      <w:r>
        <w:rPr>
          <w:b/>
          <w:bCs/>
          <w:sz w:val="24"/>
          <w:szCs w:val="24"/>
        </w:rPr>
        <w:t>Acknowledgement of Commercial Support</w:t>
      </w:r>
    </w:p>
    <w:p w:rsidR="002858C0" w:rsidRPr="00302AD4">
      <w:pPr>
        <w:spacing w:after="0" w:line="240" w:lineRule="auto"/>
        <w:contextualSpacing/>
        <w:rPr>
          <w:sz w:val="24"/>
          <w:szCs w:val="24"/>
        </w:rPr>
      </w:pPr>
      <w:r>
        <w:rPr>
          <w:sz w:val="24"/>
          <w:szCs w:val="24"/>
        </w:rPr>
        <w:fldChar w:fldCharType="begin"/>
      </w:r>
      <w:r>
        <w:rPr>
          <w:sz w:val="24"/>
          <w:szCs w:val="24"/>
        </w:rPr>
        <w:instrText xml:space="preserve"> IF </w:instrText>
      </w:r>
      <w:r>
        <w:rPr>
          <w:sz w:val="24"/>
          <w:szCs w:val="24"/>
        </w:rPr>
        <w:instrText>"</w:instrText>
      </w:r>
      <w:r>
        <w:rPr>
          <w:sz w:val="24"/>
          <w:szCs w:val="24"/>
        </w:rPr>
        <w:instrText>"</w:instrText>
      </w:r>
      <w:r>
        <w:rPr>
          <w:sz w:val="24"/>
          <w:szCs w:val="24"/>
        </w:rPr>
        <w:instrText xml:space="preserve"> &lt;&gt; "" "</w:instrText>
      </w:r>
      <w:r>
        <w:rPr>
          <w:sz w:val="24"/>
          <w:szCs w:val="24"/>
        </w:rPr>
        <w:fldChar w:fldCharType="begin"/>
      </w:r>
      <w:r>
        <w:rPr>
          <w:sz w:val="24"/>
          <w:szCs w:val="24"/>
        </w:rPr>
        <w:instrText xml:space="preserve"> MERGEFIELD CommercialSupport </w:instrText>
      </w:r>
      <w:r>
        <w:rPr>
          <w:sz w:val="24"/>
          <w:szCs w:val="24"/>
        </w:rPr>
        <w:fldChar w:fldCharType="separate"/>
      </w:r>
      <w:r w:rsidR="00B86886">
        <w:rPr>
          <w:noProof/>
          <w:sz w:val="24"/>
          <w:szCs w:val="24"/>
        </w:rPr>
        <w:instrText>«CommercialSupport»</w:instrText>
      </w:r>
      <w:r>
        <w:rPr>
          <w:sz w:val="24"/>
          <w:szCs w:val="24"/>
        </w:rPr>
        <w:fldChar w:fldCharType="end"/>
      </w:r>
      <w:r>
        <w:rPr>
          <w:sz w:val="24"/>
          <w:szCs w:val="24"/>
        </w:rPr>
        <w:instrText xml:space="preserve">" "No commercial support has been received for this activity." </w:instrText>
      </w:r>
      <w:r>
        <w:rPr>
          <w:sz w:val="24"/>
          <w:szCs w:val="24"/>
        </w:rPr>
        <w:fldChar w:fldCharType="separate"/>
      </w:r>
      <w:r>
        <w:rPr>
          <w:sz w:val="24"/>
          <w:szCs w:val="24"/>
        </w:rPr>
        <w:t>No commercial support has been received for this activity.</w:t>
      </w:r>
      <w:r>
        <w:rPr>
          <w:sz w:val="24"/>
          <w:szCs w:val="24"/>
        </w:rPr>
        <w:fldChar w:fldCharType="end"/>
      </w:r>
    </w:p>
    <w:sectPr w:rsidSect="004F716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o Light">
    <w:panose1 w:val="00000400000000000000"/>
    <w:charset w:val="4D"/>
    <w:family w:val="auto"/>
    <w:pitch w:val="variable"/>
    <w:sig w:usb0="00000007" w:usb1="00000000" w:usb2="00000000" w:usb3="00000000" w:csb0="0000008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12E1"/>
    <w:rPr>
      <w:color w:val="0563C1" w:themeColor="hyperlink"/>
      <w:u w:val="single"/>
    </w:rPr>
  </w:style>
  <w:style w:type="character" w:customStyle="1" w:styleId="UnresolvedMention">
    <w:name w:val="Unresolved Mention"/>
    <w:basedOn w:val="DefaultParagraphFont"/>
    <w:uiPriority w:val="99"/>
    <w:semiHidden/>
    <w:unhideWhenUsed/>
    <w:rsid w:val="00731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1368</Words>
  <Characters>8827</Characters>
  <Application>Microsoft Office Word</Application>
  <DocSecurity>0</DocSecurity>
  <Lines>226</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Browne, Tyler</dc:creator>
  <cp:lastModifiedBy>Patil, Tejaswini</cp:lastModifiedBy>
  <cp:revision>3</cp:revision>
  <dcterms:created xsi:type="dcterms:W3CDTF">2025-05-02T13:50:00Z</dcterms:created>
  <dcterms:modified xsi:type="dcterms:W3CDTF">2026-07-17T18:00:00Z</dcterms:modified>
</cp:coreProperties>
</file>