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B86886">
        <w:rPr>
          <w:b/>
          <w:bCs/>
          <w:noProof/>
          <w:sz w:val="28"/>
          <w:szCs w:val="28"/>
        </w:rPr>
        <w:instrText>«ParentName»</w:instrText>
      </w:r>
      <w:r w:rsidRPr="00467105">
        <w:rPr>
          <w:b/>
          <w:bCs/>
          <w:sz w:val="28"/>
          <w:szCs w:val="28"/>
        </w:rPr>
        <w:fldChar w:fldCharType="end"/>
      </w:r>
    </w:p>
    <w:p w:rsidR="00B86886"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Psychiatry &amp; Psychotherapy Podcast Series: Episode 275: Working with Transference: Timing, Technique, and the Here-and-Now</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Psychiatry &amp; Psychotherapy Podcast Series: Episode 275: Working with Transference: Timing, Technique, and the Here-and-Now</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September 1, 2026</w:t>
      </w:r>
      <w:r>
        <w:rPr>
          <w:sz w:val="24"/>
          <w:szCs w:val="24"/>
        </w:rPr>
        <w:fldChar w:fldCharType="begin"/>
      </w:r>
      <w:r>
        <w:rPr>
          <w:sz w:val="24"/>
          <w:szCs w:val="24"/>
        </w:rPr>
        <w:instrText xml:space="preserve"> IF </w:instrText>
      </w:r>
      <w:r>
        <w:rPr>
          <w:sz w:val="24"/>
          <w:szCs w:val="24"/>
        </w:rPr>
        <w:instrText>"</w:instrText>
      </w:r>
      <w:r>
        <w:rPr>
          <w:sz w:val="24"/>
          <w:szCs w:val="24"/>
        </w:rPr>
        <w:instrText>9 1 2026</w:instrText>
      </w:r>
      <w:r>
        <w:rPr>
          <w:sz w:val="24"/>
          <w:szCs w:val="24"/>
        </w:rPr>
        <w:instrText>"</w:instrText>
      </w:r>
      <w:r>
        <w:rPr>
          <w:sz w:val="24"/>
          <w:szCs w:val="24"/>
        </w:rPr>
        <w:instrText xml:space="preserve"> &lt;&gt; </w:instrText>
      </w:r>
      <w:r>
        <w:rPr>
          <w:sz w:val="24"/>
          <w:szCs w:val="24"/>
        </w:rPr>
        <w:instrText>"</w:instrText>
      </w:r>
      <w:r>
        <w:rPr>
          <w:sz w:val="24"/>
          <w:szCs w:val="24"/>
        </w:rPr>
        <w:instrText>8 27 2029</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instrText>August 27, 2029</w:instrText>
      </w:r>
      <w:r>
        <w:rPr>
          <w:sz w:val="24"/>
          <w:szCs w:val="24"/>
        </w:rPr>
        <w:instrText xml:space="preserve">" "" </w:instrText>
      </w:r>
      <w:r>
        <w:rPr>
          <w:sz w:val="24"/>
          <w:szCs w:val="24"/>
        </w:rPr>
        <w:fldChar w:fldCharType="separate"/>
      </w:r>
      <w:r>
        <w:rPr>
          <w:sz w:val="24"/>
          <w:szCs w:val="24"/>
        </w:rPr>
        <w:t xml:space="preserve"> </w:t>
      </w:r>
      <w:r>
        <w:rPr>
          <w:rFonts w:cstheme="minorHAnsi"/>
          <w:sz w:val="24"/>
          <w:szCs w:val="24"/>
        </w:rPr>
        <w:t>–</w:t>
      </w:r>
      <w:r>
        <w:rPr>
          <w:sz w:val="24"/>
          <w:szCs w:val="24"/>
        </w:rPr>
        <w:t xml:space="preserve"> </w:t>
      </w:r>
      <w:r>
        <w:rPr>
          <w:sz w:val="24"/>
          <w:szCs w:val="24"/>
        </w:rPr>
        <w:t>August 27, 2029</w:t>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p>
    <w:p>
      <w:pPr>
        <w:pStyle w:val="Heading3"/>
        <w:widowControl/>
        <w:pBdr>
          <w:top w:val="single" w:sz="2" w:space="0" w:color="E2E8F0"/>
          <w:left w:val="single" w:sz="2" w:space="0" w:color="E2E8F0"/>
          <w:bottom w:val="single" w:sz="2" w:space="0" w:color="E2E8F0"/>
          <w:right w:val="single" w:sz="2" w:space="0" w:color="E2E8F0"/>
        </w:pBdr>
        <w:shd w:val="clear" w:color="auto" w:fill="FFFFFF"/>
        <w:bidi w:val="0"/>
        <w:spacing w:before="0" w:beforeAutospacing="0" w:after="0" w:afterAutospacing="0"/>
        <w:ind w:left="0" w:right="0" w:firstLine="0"/>
        <w:jc w:val="left"/>
        <w:rPr>
          <w:rtl w:val="0"/>
        </w:rPr>
      </w:pPr>
      <w:r>
        <w:rPr>
          <w:sz w:val="24"/>
          <w:szCs w:val="24"/>
          <w:rtl w:val="0"/>
        </w:rPr>
        <w:instrText>Working with Transference: Timing, Technique, and the Here-and-Now</w:instrText>
      </w:r>
    </w:p>
    <w:p>
      <w:pPr>
        <w:bidi w:val="0"/>
        <w:spacing w:after="280" w:afterAutospacing="1"/>
        <w:jc w:val="left"/>
        <w:rPr>
          <w:sz w:val="20"/>
          <w:szCs w:val="20"/>
        </w:rPr>
      </w:pP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B86886">
      <w:pPr>
        <w:pStyle w:val="Heading3"/>
        <w:widowControl/>
        <w:pBdr>
          <w:top w:val="single" w:sz="2" w:space="0" w:color="E2E8F0"/>
          <w:left w:val="single" w:sz="2" w:space="0" w:color="E2E8F0"/>
          <w:bottom w:val="single" w:sz="2" w:space="0" w:color="E2E8F0"/>
          <w:right w:val="single" w:sz="2" w:space="0" w:color="E2E8F0"/>
        </w:pBdr>
        <w:shd w:val="clear" w:color="auto" w:fill="FFFFFF"/>
        <w:bidi w:val="0"/>
        <w:spacing w:before="0" w:beforeAutospacing="0" w:after="0" w:afterAutospacing="0"/>
        <w:ind w:left="0" w:right="0" w:firstLine="0"/>
        <w:jc w:val="left"/>
        <w:rPr>
          <w:noProof/>
          <w:sz w:val="20"/>
          <w:szCs w:val="20"/>
        </w:rPr>
      </w:pPr>
      <w:r>
        <w:rPr>
          <w:sz w:val="24"/>
          <w:szCs w:val="24"/>
          <w:rtl w:val="0"/>
        </w:rPr>
        <w:instrText>Working with Transference: Timing, Technique, and the Here-and-Now</w:instrText>
      </w:r>
    </w:p>
    <w:p>
      <w:pPr>
        <w:bidi w:val="0"/>
        <w:spacing w:after="280" w:afterAutospacing="1"/>
        <w:jc w:val="left"/>
        <w:rPr>
          <w:sz w:val="24"/>
          <w:szCs w:val="24"/>
        </w:rPr>
      </w:pP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B86886">
      <w:pPr>
        <w:pStyle w:val="Heading3"/>
        <w:widowControl/>
        <w:pBdr>
          <w:top w:val="single" w:sz="2" w:space="0" w:color="E2E8F0"/>
          <w:left w:val="single" w:sz="2" w:space="0" w:color="E2E8F0"/>
          <w:bottom w:val="single" w:sz="2" w:space="0" w:color="E2E8F0"/>
          <w:right w:val="single" w:sz="2" w:space="0" w:color="E2E8F0"/>
        </w:pBdr>
        <w:shd w:val="clear" w:color="auto" w:fill="FFFFFF"/>
        <w:bidi w:val="0"/>
        <w:spacing w:before="0" w:beforeAutospacing="0" w:after="0" w:afterAutospacing="0"/>
        <w:ind w:left="0" w:right="0" w:firstLine="0"/>
        <w:jc w:val="left"/>
        <w:rPr>
          <w:noProof/>
          <w:sz w:val="20"/>
          <w:szCs w:val="20"/>
        </w:rPr>
      </w:pPr>
      <w:r>
        <w:rPr>
          <w:sz w:val="24"/>
          <w:szCs w:val="24"/>
          <w:rtl w:val="0"/>
        </w:rPr>
        <w:t>Working with Transference: Timing, Technique, and the Here-and-Now</w:t>
      </w:r>
    </w:p>
    <w:p w:rsidR="004E13E4">
      <w:pPr>
        <w:bidi w:val="0"/>
        <w:spacing w:after="280" w:afterAutospacing="1"/>
        <w:jc w:val="left"/>
        <w:rPr>
          <w:sz w:val="20"/>
          <w:szCs w:val="20"/>
        </w:rPr>
      </w:pP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Family Medicine, Medicine, Psychiatry &amp; Human Behavior</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0</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Family Medicine, Medicine, Psychiatry &amp; Human Behavior</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fldChar w:fldCharType="begin"/>
      </w:r>
      <w:r w:rsidRPr="0042796F">
        <w:rPr>
          <w:rFonts w:cstheme="minorHAnsi"/>
          <w:sz w:val="24"/>
          <w:szCs w:val="24"/>
        </w:rPr>
        <w:instrText xml:space="preserve"> MERGEFIELD TargetProfessions </w:instrText>
      </w:r>
      <w:r w:rsidRPr="0042796F">
        <w:rPr>
          <w:rFonts w:cstheme="minorHAnsi"/>
          <w:sz w:val="24"/>
          <w:szCs w:val="24"/>
        </w:rPr>
        <w:fldChar w:fldCharType="separate"/>
      </w:r>
      <w:r>
        <w:rPr>
          <w:rFonts w:cstheme="minorHAnsi"/>
          <w:noProof/>
          <w:sz w:val="24"/>
          <w:szCs w:val="24"/>
        </w:rPr>
        <w:instrText>«TargetProfessions»</w:instrText>
      </w:r>
      <w:r w:rsidRPr="0042796F">
        <w:rPr>
          <w:rFonts w:cstheme="minorHAnsi"/>
          <w:sz w:val="24"/>
          <w:szCs w:val="24"/>
        </w:rPr>
        <w:fldChar w:fldCharType="end"/>
      </w:r>
      <w:r w:rsidRPr="0042796F">
        <w:rPr>
          <w:rFonts w:cstheme="minorHAnsi"/>
          <w:sz w:val="24"/>
          <w:szCs w:val="24"/>
        </w:rPr>
        <w:instrText xml:space="preserve">" "" </w:instrText>
      </w:r>
      <w:r w:rsidRPr="0042796F">
        <w:rPr>
          <w:rFonts w:cstheme="minorHAnsi"/>
          <w:sz w:val="24"/>
          <w:szCs w:val="24"/>
        </w:rPr>
        <w:fldChar w:fldCharType="separate"/>
      </w:r>
      <w:r w:rsidRPr="0042796F" w:rsidR="0042796F">
        <w:rPr>
          <w:rFonts w:cstheme="minorHAnsi"/>
          <w:sz w:val="24"/>
          <w:szCs w:val="24"/>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Family Medicine, Medicine, Psychiatry &amp; Human Behavior</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Describe core principles of transference and countertransference, including how these processes emerge within the therapeutic relationship and inform psychodynamic case formulation.</w:instrText>
      </w:r>
    </w:p>
    <w:p w:rsidR="00467105" w:rsidP="0042796F">
      <w:pPr>
        <w:spacing w:after="0" w:line="240" w:lineRule="auto"/>
        <w:contextualSpacing/>
        <w:rPr>
          <w:sz w:val="20"/>
          <w:szCs w:val="20"/>
        </w:rPr>
      </w:pPr>
      <w:r>
        <w:rPr>
          <w:sz w:val="20"/>
          <w:szCs w:val="20"/>
        </w:rPr>
        <w:instrText>2 Differentiate psychodynamic interventions across varying levels of personality organization, applying techniques such as clarification, confrontation, interpretation, and mentalization to enhance therapeutic effectiveness.</w:instrText>
      </w:r>
    </w:p>
    <w:p w:rsidR="00467105" w:rsidP="0042796F">
      <w:pPr>
        <w:spacing w:after="0" w:line="240" w:lineRule="auto"/>
        <w:contextualSpacing/>
        <w:rPr>
          <w:sz w:val="20"/>
          <w:szCs w:val="20"/>
        </w:rPr>
      </w:pPr>
      <w:r>
        <w:rPr>
          <w:sz w:val="20"/>
          <w:szCs w:val="20"/>
        </w:rPr>
        <w:instrText>3 Apply evidence-informed strategies for managing complex therapeutic dynamics including idealization, devaluation, projection, reassurance seeking, erotic transference, and countertransference; while maintaining the therapeutic frame and strengthening the treatment alliance.</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B86886" w:rsidP="0042796F">
      <w:pPr>
        <w:spacing w:after="0" w:line="240" w:lineRule="auto"/>
        <w:contextualSpacing/>
        <w:rPr>
          <w:noProof/>
          <w:sz w:val="20"/>
          <w:szCs w:val="20"/>
        </w:rPr>
      </w:pPr>
      <w:r>
        <w:rPr>
          <w:sz w:val="24"/>
          <w:szCs w:val="24"/>
        </w:rPr>
        <w:instrText>1 Describe core principles of transference and countertransference, including how these processes emerge within the therapeutic relationship and inform psychodynamic case formulation.</w:instrText>
      </w:r>
    </w:p>
    <w:p w:rsidP="0042796F">
      <w:pPr>
        <w:spacing w:after="0" w:line="240" w:lineRule="auto"/>
        <w:contextualSpacing/>
        <w:rPr>
          <w:sz w:val="24"/>
          <w:szCs w:val="24"/>
        </w:rPr>
      </w:pPr>
      <w:r>
        <w:rPr>
          <w:sz w:val="24"/>
          <w:szCs w:val="24"/>
        </w:rPr>
        <w:instrText>2 Differentiate psychodynamic interventions across varying levels of personality organization, applying techniques such as clarification, confrontation, interpretation, and mentalization to enhance therapeutic effectiveness.</w:instrText>
      </w:r>
    </w:p>
    <w:p w:rsidP="0042796F">
      <w:pPr>
        <w:spacing w:after="0" w:line="240" w:lineRule="auto"/>
        <w:contextualSpacing/>
        <w:rPr>
          <w:sz w:val="24"/>
          <w:szCs w:val="24"/>
        </w:rPr>
      </w:pPr>
      <w:r>
        <w:rPr>
          <w:sz w:val="24"/>
          <w:szCs w:val="24"/>
        </w:rPr>
        <w:instrText>3 Apply evidence-informed strategies for managing complex therapeutic dynamics including idealization, devaluation, projection, reassurance seeking, erotic transference, and countertransference; while maintaining the therapeutic frame and strengthening the treatment alliance.</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B86886" w:rsidP="0042796F">
      <w:pPr>
        <w:spacing w:after="0" w:line="240" w:lineRule="auto"/>
        <w:contextualSpacing/>
        <w:rPr>
          <w:noProof/>
          <w:sz w:val="20"/>
          <w:szCs w:val="20"/>
        </w:rPr>
      </w:pPr>
      <w:r>
        <w:rPr>
          <w:sz w:val="24"/>
          <w:szCs w:val="24"/>
        </w:rPr>
        <w:t>1 Describe core principles of transference and countertransference, including how these processes emerge within the therapeutic relationship and inform psychodynamic case formulation.</w:t>
      </w:r>
    </w:p>
    <w:p w:rsidP="0042796F">
      <w:pPr>
        <w:spacing w:after="0" w:line="240" w:lineRule="auto"/>
        <w:contextualSpacing/>
        <w:rPr>
          <w:sz w:val="24"/>
          <w:szCs w:val="24"/>
        </w:rPr>
      </w:pPr>
      <w:r>
        <w:rPr>
          <w:sz w:val="24"/>
          <w:szCs w:val="24"/>
        </w:rPr>
        <w:t>2 Differentiate psychodynamic interventions across varying levels of personality organization, applying techniques such as clarification, confrontation, interpretation, and mentalization to enhance therapeutic effectiveness.</w:t>
      </w:r>
    </w:p>
    <w:p w:rsidR="00467105" w:rsidP="0042796F">
      <w:pPr>
        <w:spacing w:after="0" w:line="240" w:lineRule="auto"/>
        <w:contextualSpacing/>
        <w:rPr>
          <w:sz w:val="20"/>
          <w:szCs w:val="20"/>
        </w:rPr>
      </w:pPr>
      <w:r>
        <w:rPr>
          <w:sz w:val="24"/>
          <w:szCs w:val="24"/>
        </w:rPr>
        <w:t>3 Apply evidence-informed strategies for managing complex therapeutic dynamics including idealization, devaluation, projection, reassurance seeking, erotic transference, and countertransference; while maintaining the therapeutic frame and strengthening the treatment alliance.</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Emotion Connection, LLC</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B86886">
        <w:rPr>
          <w:noProof/>
          <w:sz w:val="24"/>
          <w:szCs w:val="24"/>
        </w:rPr>
        <w:instrText>Emotion Connection</w:instrText>
      </w:r>
      <w:r w:rsidR="002B69BD">
        <w:rPr>
          <w:sz w:val="24"/>
          <w:szCs w:val="24"/>
        </w:rPr>
        <w:instrText>, LLC</w:instrText>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D46C0D" w:rsidR="00D46C0D">
        <w:rPr>
          <w:rFonts w:ascii="Aleo Light" w:hAnsi="Aleo Light"/>
          <w:color w:val="000000"/>
          <w:shd w:val="clear" w:color="auto" w:fill="FFFFFF"/>
        </w:rPr>
        <w:t xml:space="preserve"> </w:t>
      </w:r>
      <w:r w:rsidRPr="00D46C0D" w:rsidR="00D46C0D">
        <w:rPr>
          <w:sz w:val="24"/>
          <w:szCs w:val="24"/>
        </w:rPr>
        <w: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t>
      </w:r>
      <w:r w:rsidR="00B86886">
        <w:rPr>
          <w:noProof/>
          <w:sz w:val="24"/>
          <w:szCs w:val="24"/>
        </w:rPr>
        <w:t>Emotion Connection</w:t>
      </w:r>
      <w:r w:rsidR="002B69BD">
        <w:rPr>
          <w:sz w:val="24"/>
          <w:szCs w:val="24"/>
        </w:rPr>
        <w:t>, LLC</w:t>
      </w:r>
      <w:r w:rsidRPr="00D46C0D" w:rsidR="00D46C0D">
        <w:rPr>
          <w:sz w:val="24"/>
          <w:szCs w:val="24"/>
        </w:rPr>
        <w:t>.  The University of California, Irvine School of Medicine is accredited by the ACCME to provide continuing medical education for physicians.</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Enduring Material</w:instrText>
      </w:r>
      <w:r>
        <w:rPr>
          <w:sz w:val="24"/>
          <w:szCs w:val="24"/>
        </w:rPr>
        <w:instrText>"</w:instrText>
      </w:r>
      <w:r>
        <w:rPr>
          <w:sz w:val="24"/>
          <w:szCs w:val="24"/>
        </w:rPr>
        <w:instrText xml:space="preserve"> &lt;&gt; "" "</w:instrText>
      </w:r>
      <w:r>
        <w:rPr>
          <w:sz w:val="24"/>
          <w:szCs w:val="24"/>
        </w:rPr>
        <w:instrText>Enduring Material</w:instrText>
      </w:r>
      <w:r>
        <w:rPr>
          <w:sz w:val="24"/>
          <w:szCs w:val="24"/>
        </w:rPr>
        <w:instrText xml:space="preserve">" "activity" </w:instrText>
      </w:r>
      <w:r>
        <w:rPr>
          <w:sz w:val="24"/>
          <w:szCs w:val="24"/>
        </w:rPr>
        <w:fldChar w:fldCharType="separate"/>
      </w:r>
      <w:r>
        <w:rPr>
          <w:sz w:val="24"/>
          <w:szCs w:val="24"/>
        </w:rPr>
        <w:t>Enduring Material</w:t>
      </w:r>
      <w:r>
        <w:rPr>
          <w:sz w:val="24"/>
          <w:szCs w:val="24"/>
        </w:rPr>
        <w:fldChar w:fldCharType="end"/>
      </w:r>
      <w:r w:rsidRPr="00CC147B">
        <w:rPr>
          <w:sz w:val="24"/>
          <w:szCs w:val="24"/>
        </w:rPr>
        <w:t xml:space="preserve"> for a maximum of </w:t>
      </w:r>
      <w:r>
        <w:rPr>
          <w:sz w:val="24"/>
          <w:szCs w:val="24"/>
        </w:rPr>
        <w:t>1.00</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86886" w:rsidRPr="00EB5DB5" w:rsidP="00B8688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w:instrText>
      </w:r>
      <w:r w:rsidRPr="00EB5DB5">
        <w:rPr>
          <w:sz w:val="24"/>
          <w:szCs w:val="24"/>
        </w:rPr>
        <w:instrText>0.00</w:instrText>
      </w:r>
      <w:r w:rsidRPr="00EB5DB5">
        <w:rPr>
          <w:sz w:val="24"/>
          <w:szCs w:val="24"/>
        </w:rPr>
        <w:instrText xml:space="preserve"> &gt; 0 "</w:instrText>
      </w:r>
    </w:p>
    <w:p w:rsidR="00B86886" w:rsidRPr="00EB5DB5" w:rsidP="00B86886">
      <w:pPr>
        <w:spacing w:after="0" w:line="240" w:lineRule="auto"/>
        <w:contextualSpacing/>
        <w:rPr>
          <w:sz w:val="24"/>
          <w:szCs w:val="24"/>
        </w:rPr>
      </w:pPr>
    </w:p>
    <w:p w:rsidR="00B74E46" w:rsidRPr="000063DA" w:rsidP="00B86886">
      <w:pPr>
        <w:spacing w:after="0" w:line="240" w:lineRule="auto"/>
        <w:contextualSpacing/>
        <w:rPr>
          <w:sz w:val="24"/>
          <w:szCs w:val="24"/>
        </w:rPr>
      </w:pPr>
      <w:r w:rsidRPr="00EB5DB5">
        <w:rPr>
          <w:noProof/>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Joanie Burns, Other, DNP, APRN, PMHNP-BC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Annabel Kuhn,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Puder,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- 12/21/2025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Allie Riege,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Jonathan Shedler,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Jeremiah Stokes, LPCC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- 08/03/2026</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B86886">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3">
    <w:name w:val="heading 3"/>
    <w:basedOn w:val="Normal"/>
    <w:next w:val="Normal"/>
    <w:uiPriority w:val="9"/>
    <w:semiHidden/>
    <w:unhideWhenUsed/>
    <w:qFormat/>
    <w:rsid w:val="00EF7B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1368</Words>
  <Characters>8827</Characters>
  <Application>Microsoft Office Word</Application>
  <DocSecurity>0</DocSecurity>
  <Lines>226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Patil, Tejaswini</cp:lastModifiedBy>
  <cp:revision>3</cp:revision>
  <dcterms:created xsi:type="dcterms:W3CDTF">2025-05-02T13:50:00Z</dcterms:created>
  <dcterms:modified xsi:type="dcterms:W3CDTF">2026-07-17T18:00:00Z</dcterms:modified>
</cp:coreProperties>
</file>