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Psychiatry &amp; Psychotherapy Podcast Series: Episode 283: Perimenopause and Mental Health: Depression, Anxiety, Brain Fog, Sleep, and Hormone Therapy</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Psychiatry &amp; Psychotherapy Podcast Series: Episode 283: Perimenopause and Mental Health: Depression, Anxiety, Brain Fog, Sleep, and Hormone Therapy</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October 28, 2026</w:t>
      </w:r>
      <w:r>
        <w:rPr>
          <w:sz w:val="24"/>
          <w:szCs w:val="24"/>
        </w:rPr>
        <w:fldChar w:fldCharType="begin"/>
      </w:r>
      <w:r>
        <w:rPr>
          <w:sz w:val="24"/>
          <w:szCs w:val="24"/>
        </w:rPr>
        <w:instrText xml:space="preserve"> IF </w:instrText>
      </w:r>
      <w:r>
        <w:rPr>
          <w:sz w:val="24"/>
          <w:szCs w:val="24"/>
        </w:rPr>
        <w:instrText>"</w:instrText>
      </w:r>
      <w:r>
        <w:rPr>
          <w:sz w:val="24"/>
          <w:szCs w:val="24"/>
        </w:rPr>
        <w:instrText>10 28 2026</w:instrText>
      </w:r>
      <w:r>
        <w:rPr>
          <w:sz w:val="24"/>
          <w:szCs w:val="24"/>
        </w:rPr>
        <w:instrText>"</w:instrText>
      </w:r>
      <w:r>
        <w:rPr>
          <w:sz w:val="24"/>
          <w:szCs w:val="24"/>
        </w:rPr>
        <w:instrText xml:space="preserve"> &lt;&gt; </w:instrText>
      </w:r>
      <w:r>
        <w:rPr>
          <w:sz w:val="24"/>
          <w:szCs w:val="24"/>
        </w:rPr>
        <w:instrText>"</w:instrText>
      </w:r>
      <w:r>
        <w:rPr>
          <w:sz w:val="24"/>
          <w:szCs w:val="24"/>
        </w:rPr>
        <w:instrText>10 27 2029</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p>
    <w:p>
      <w:pPr>
        <w:pStyle w:val="Heading3"/>
        <w:widowControl/>
        <w:pBdr>
          <w:top w:val="single" w:sz="2" w:space="0" w:color="E2E8F0"/>
          <w:left w:val="single" w:sz="2" w:space="0" w:color="E2E8F0"/>
          <w:bottom w:val="single" w:sz="2" w:space="0" w:color="E2E8F0"/>
          <w:right w:val="single" w:sz="2" w:space="0" w:color="E2E8F0"/>
        </w:pBdr>
        <w:shd w:val="clear" w:color="auto" w:fill="FFFFFF"/>
        <w:bidi w:val="0"/>
        <w:spacing w:before="0" w:beforeAutospacing="0" w:after="0" w:afterAutospacing="0"/>
        <w:ind w:left="0" w:right="0" w:firstLine="0"/>
        <w:jc w:val="left"/>
        <w:rPr>
          <w:rtl w:val="0"/>
        </w:rPr>
      </w:pPr>
      <w:r>
        <w:rPr>
          <w:color w:val="000000"/>
          <w:sz w:val="24"/>
          <w:szCs w:val="24"/>
          <w:rtl w:val="0"/>
        </w:rPr>
        <w:instrText>Schizophrenia: Early Signs, Genetics, Treatment, and a Family’s Lived Experience</w:instrText>
      </w:r>
    </w:p>
    <w:p>
      <w:pPr>
        <w:bidi w:val="0"/>
        <w:spacing w:after="280" w:afterAutospacing="1"/>
        <w:jc w:val="left"/>
        <w:rPr>
          <w:sz w:val="20"/>
          <w:szCs w:val="20"/>
        </w:rPr>
      </w:pP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pPr>
        <w:pStyle w:val="Heading3"/>
        <w:widowControl/>
        <w:pBdr>
          <w:top w:val="single" w:sz="2" w:space="0" w:color="E2E8F0"/>
          <w:left w:val="single" w:sz="2" w:space="0" w:color="E2E8F0"/>
          <w:bottom w:val="single" w:sz="2" w:space="0" w:color="E2E8F0"/>
          <w:right w:val="single" w:sz="2" w:space="0" w:color="E2E8F0"/>
        </w:pBdr>
        <w:shd w:val="clear" w:color="auto" w:fill="FFFFFF"/>
        <w:bidi w:val="0"/>
        <w:spacing w:before="0" w:beforeAutospacing="0" w:after="0" w:afterAutospacing="0"/>
        <w:ind w:left="0" w:right="0" w:firstLine="0"/>
        <w:jc w:val="left"/>
        <w:rPr>
          <w:noProof/>
          <w:sz w:val="20"/>
          <w:szCs w:val="20"/>
        </w:rPr>
      </w:pPr>
      <w:r>
        <w:rPr>
          <w:color w:val="000000"/>
          <w:sz w:val="24"/>
          <w:szCs w:val="24"/>
          <w:rtl w:val="0"/>
        </w:rPr>
        <w:instrText>Schizophrenia: Early Signs, Genetics, Treatment, and a Family’s Lived Experience</w:instrText>
      </w:r>
    </w:p>
    <w:p>
      <w:pPr>
        <w:bidi w:val="0"/>
        <w:spacing w:after="280" w:afterAutospacing="1"/>
        <w:jc w:val="left"/>
        <w:rPr>
          <w:sz w:val="24"/>
          <w:szCs w:val="24"/>
        </w:rPr>
      </w:pP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B86886">
      <w:pPr>
        <w:pStyle w:val="Heading3"/>
        <w:widowControl/>
        <w:pBdr>
          <w:top w:val="single" w:sz="2" w:space="0" w:color="E2E8F0"/>
          <w:left w:val="single" w:sz="2" w:space="0" w:color="E2E8F0"/>
          <w:bottom w:val="single" w:sz="2" w:space="0" w:color="E2E8F0"/>
          <w:right w:val="single" w:sz="2" w:space="0" w:color="E2E8F0"/>
        </w:pBdr>
        <w:shd w:val="clear" w:color="auto" w:fill="FFFFFF"/>
        <w:bidi w:val="0"/>
        <w:spacing w:before="0" w:beforeAutospacing="0" w:after="0" w:afterAutospacing="0"/>
        <w:ind w:left="0" w:right="0" w:firstLine="0"/>
        <w:jc w:val="left"/>
        <w:rPr>
          <w:noProof/>
          <w:sz w:val="20"/>
          <w:szCs w:val="20"/>
        </w:rPr>
      </w:pPr>
      <w:r>
        <w:rPr>
          <w:color w:val="000000"/>
          <w:sz w:val="24"/>
          <w:szCs w:val="24"/>
          <w:rtl w:val="0"/>
        </w:rPr>
        <w:t>Schizophrenia: Early Signs, Genetics, Treatment, and a Family’s Lived Experience</w:t>
      </w:r>
    </w:p>
    <w:p w:rsidR="004E13E4">
      <w:pPr>
        <w:bidi w:val="0"/>
        <w:spacing w:after="280" w:afterAutospacing="1"/>
        <w:jc w:val="left"/>
        <w:rPr>
          <w:sz w:val="20"/>
          <w:szCs w:val="20"/>
        </w:rPr>
      </w:pP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Family Medicine, Medicine, Psychiatry &amp; Human Behavior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0</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Family Medicine, Medicine, Psychiatry &amp; Human Behavior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fldChar w:fldCharType="begin"/>
      </w:r>
      <w:r w:rsidRPr="0042796F">
        <w:rPr>
          <w:rFonts w:cstheme="minorHAnsi"/>
          <w:sz w:val="24"/>
          <w:szCs w:val="24"/>
        </w:rPr>
        <w:instrText xml:space="preserve"> MERGEFIELD TargetProfessions </w:instrText>
      </w:r>
      <w:r w:rsidRPr="0042796F">
        <w:rPr>
          <w:rFonts w:cstheme="minorHAnsi"/>
          <w:sz w:val="24"/>
          <w:szCs w:val="24"/>
        </w:rPr>
        <w:fldChar w:fldCharType="separate"/>
      </w:r>
      <w:r>
        <w:rPr>
          <w:rFonts w:cstheme="minorHAnsi"/>
          <w:noProof/>
          <w:sz w:val="24"/>
          <w:szCs w:val="24"/>
        </w:rPr>
        <w:instrText>«TargetProfessions»</w:instrText>
      </w:r>
      <w:r w:rsidRPr="0042796F">
        <w:rPr>
          <w:rFonts w:cstheme="minorHAnsi"/>
          <w:sz w:val="24"/>
          <w:szCs w:val="24"/>
        </w:rPr>
        <w:fldChar w:fldCharType="end"/>
      </w:r>
      <w:r w:rsidRPr="0042796F">
        <w:rPr>
          <w:rFonts w:cstheme="minorHAnsi"/>
          <w:sz w:val="24"/>
          <w:szCs w:val="24"/>
        </w:rPr>
        <w:instrText xml:space="preserve">" "" </w:instrText>
      </w:r>
      <w:r w:rsidRPr="0042796F">
        <w:rPr>
          <w:rFonts w:cstheme="minorHAnsi"/>
          <w:sz w:val="24"/>
          <w:szCs w:val="24"/>
        </w:rPr>
        <w:fldChar w:fldCharType="separate"/>
      </w:r>
      <w:r w:rsidRPr="0042796F" w:rsidR="0042796F">
        <w:rPr>
          <w:rFonts w:cstheme="minorHAnsi"/>
          <w:sz w:val="24"/>
          <w:szCs w:val="24"/>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Family Medicine, Medicine, Psychiatry &amp; Human Behavior</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Describe the relationship between the menopausal transition and mental health,</w:instrText>
      </w:r>
    </w:p>
    <w:p w:rsidR="00467105" w:rsidP="0042796F">
      <w:pPr>
        <w:spacing w:after="0" w:line="240" w:lineRule="auto"/>
        <w:contextualSpacing/>
        <w:rPr>
          <w:sz w:val="20"/>
          <w:szCs w:val="20"/>
        </w:rPr>
      </w:pPr>
    </w:p>
    <w:p w:rsidR="00467105" w:rsidP="0042796F">
      <w:pPr>
        <w:spacing w:after="0" w:line="240" w:lineRule="auto"/>
        <w:contextualSpacing/>
        <w:rPr>
          <w:sz w:val="20"/>
          <w:szCs w:val="20"/>
        </w:rPr>
      </w:pPr>
      <w:r>
        <w:rPr>
          <w:sz w:val="20"/>
          <w:szCs w:val="20"/>
        </w:rPr>
        <w:instrText>2 Differentiate psychiatric symptoms from overlapping menopausal and medical symptoms</w:instrText>
      </w:r>
    </w:p>
    <w:p w:rsidR="00467105" w:rsidP="0042796F">
      <w:pPr>
        <w:spacing w:after="0" w:line="240" w:lineRule="auto"/>
        <w:contextualSpacing/>
        <w:rPr>
          <w:sz w:val="20"/>
          <w:szCs w:val="20"/>
        </w:rPr>
      </w:pPr>
      <w:r>
        <w:rPr>
          <w:sz w:val="20"/>
          <w:szCs w:val="20"/>
        </w:rPr>
        <w:instrText>3 Evaluate evidence-based treatment approaches for psychiatric and menopausal symptoms</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Describe the relationship between the menopausal transition and mental health,</w:instrTex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instrText>2 Differentiate psychiatric symptoms from overlapping menopausal and medical symptoms</w:instrText>
      </w:r>
    </w:p>
    <w:p w:rsidP="0042796F">
      <w:pPr>
        <w:spacing w:after="0" w:line="240" w:lineRule="auto"/>
        <w:contextualSpacing/>
        <w:rPr>
          <w:sz w:val="24"/>
          <w:szCs w:val="24"/>
        </w:rPr>
      </w:pPr>
      <w:r>
        <w:rPr>
          <w:sz w:val="24"/>
          <w:szCs w:val="24"/>
        </w:rPr>
        <w:instrText>3 Evaluate evidence-based treatment approaches for psychiatric and menopausal symptoms</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Describe the relationship between the menopausal transition and mental health,</w:t>
      </w:r>
    </w:p>
    <w:p w:rsidP="0042796F">
      <w:pPr>
        <w:spacing w:after="0" w:line="240" w:lineRule="auto"/>
        <w:contextualSpacing/>
        <w:rPr>
          <w:sz w:val="24"/>
          <w:szCs w:val="24"/>
        </w:rPr>
      </w:pPr>
    </w:p>
    <w:p w:rsidP="0042796F">
      <w:pPr>
        <w:spacing w:after="0" w:line="240" w:lineRule="auto"/>
        <w:contextualSpacing/>
        <w:rPr>
          <w:sz w:val="24"/>
          <w:szCs w:val="24"/>
        </w:rPr>
      </w:pPr>
      <w:r>
        <w:rPr>
          <w:sz w:val="24"/>
          <w:szCs w:val="24"/>
        </w:rPr>
        <w:t>2 Differentiate psychiatric symptoms from overlapping menopausal and medical symptoms</w:t>
      </w:r>
    </w:p>
    <w:p w:rsidR="00467105" w:rsidP="0042796F">
      <w:pPr>
        <w:spacing w:after="0" w:line="240" w:lineRule="auto"/>
        <w:contextualSpacing/>
        <w:rPr>
          <w:sz w:val="20"/>
          <w:szCs w:val="20"/>
        </w:rPr>
      </w:pPr>
      <w:r>
        <w:rPr>
          <w:sz w:val="24"/>
          <w:szCs w:val="24"/>
        </w:rPr>
        <w:t>3 Evaluate evidence-based treatment approaches for psychiatric and menopausal symptoms</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Emotion Connection, LLC</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B86886">
        <w:rPr>
          <w:noProof/>
          <w:sz w:val="24"/>
          <w:szCs w:val="24"/>
        </w:rPr>
        <w:instrText>Emotion Connection</w:instrText>
      </w:r>
      <w:r w:rsidR="002B69BD">
        <w:rPr>
          <w:sz w:val="24"/>
          <w:szCs w:val="24"/>
        </w:rPr>
        <w:instrText>, LLC</w:instrText>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D46C0D" w:rsidR="00D46C0D">
        <w:rPr>
          <w:rFonts w:ascii="Aleo Light" w:hAnsi="Aleo Light"/>
          <w:color w:val="000000"/>
          <w:shd w:val="clear" w:color="auto" w:fill="FFFFFF"/>
        </w:rPr>
        <w:t xml:space="preserve"> </w:t>
      </w:r>
      <w:r w:rsidRPr="00D46C0D" w:rsidR="00D46C0D">
        <w:rPr>
          <w:sz w:val="24"/>
          <w:szCs w:val="24"/>
        </w:rPr>
        <w: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t>
      </w:r>
      <w:r w:rsidR="00B86886">
        <w:rPr>
          <w:noProof/>
          <w:sz w:val="24"/>
          <w:szCs w:val="24"/>
        </w:rPr>
        <w:t>Emotion Connection</w:t>
      </w:r>
      <w:r w:rsidR="002B69BD">
        <w:rPr>
          <w:sz w:val="24"/>
          <w:szCs w:val="24"/>
        </w:rPr>
        <w:t>, LLC</w:t>
      </w:r>
      <w:r w:rsidRPr="00D46C0D" w:rsidR="00D46C0D">
        <w:rPr>
          <w:sz w:val="24"/>
          <w:szCs w:val="24"/>
        </w:rPr>
        <w:t>.  The University of California, Irvine School of Medicine is accredited by the ACCME to provide continuing medical education for physicians.</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Enduring Material</w:instrText>
      </w:r>
      <w:r>
        <w:rPr>
          <w:sz w:val="24"/>
          <w:szCs w:val="24"/>
        </w:rPr>
        <w:instrText>"</w:instrText>
      </w:r>
      <w:r>
        <w:rPr>
          <w:sz w:val="24"/>
          <w:szCs w:val="24"/>
        </w:rPr>
        <w:instrText xml:space="preserve"> &lt;&gt; "" "</w:instrText>
      </w:r>
      <w:r>
        <w:rPr>
          <w:sz w:val="24"/>
          <w:szCs w:val="24"/>
        </w:rPr>
        <w:instrText>Enduring Material</w:instrText>
      </w:r>
      <w:r>
        <w:rPr>
          <w:sz w:val="24"/>
          <w:szCs w:val="24"/>
        </w:rPr>
        <w:instrText xml:space="preserve">" "activity" </w:instrText>
      </w:r>
      <w:r>
        <w:rPr>
          <w:sz w:val="24"/>
          <w:szCs w:val="24"/>
        </w:rPr>
        <w:fldChar w:fldCharType="separate"/>
      </w:r>
      <w:r>
        <w:rPr>
          <w:sz w:val="24"/>
          <w:szCs w:val="24"/>
        </w:rPr>
        <w:t>Enduring Material</w:t>
      </w:r>
      <w:r>
        <w:rPr>
          <w:sz w:val="24"/>
          <w:szCs w:val="24"/>
        </w:rPr>
        <w:fldChar w:fldCharType="end"/>
      </w:r>
      <w:r w:rsidRPr="00CC147B">
        <w:rPr>
          <w:sz w:val="24"/>
          <w:szCs w:val="24"/>
        </w:rPr>
        <w:t xml:space="preserve"> for a maximum of </w:t>
      </w:r>
      <w:r>
        <w:rPr>
          <w:sz w:val="24"/>
          <w:szCs w:val="24"/>
        </w:rPr>
        <w:t>1.00</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ABAHoursMax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w:instrText>
      </w:r>
      <w:r>
        <w:rPr>
          <w:sz w:val="24"/>
          <w:szCs w:val="24"/>
        </w:rPr>
        <w:instrText>BSCCSAM</w:instrText>
      </w:r>
      <w:r w:rsidRPr="00830DFB">
        <w:rPr>
          <w:sz w:val="24"/>
          <w:szCs w:val="24"/>
        </w:rPr>
        <w:instrText xml:space="preserve">Max </w:instrText>
      </w:r>
      <w:r w:rsidRPr="00830DFB">
        <w:rPr>
          <w:sz w:val="24"/>
          <w:szCs w:val="24"/>
        </w:rPr>
        <w:fldChar w:fldCharType="separate"/>
      </w:r>
      <w:r w:rsidRPr="00830DFB">
        <w:rPr>
          <w:sz w:val="24"/>
          <w:szCs w:val="24"/>
        </w:rPr>
        <w:fldChar w:fldCharType="end"/>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ABIM2HoursMax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ABIM4HoursMax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ABOHNSHoursMax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ABPathHoursMax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sidRPr="00EB5DB5">
        <w:rPr>
          <w:sz w:val="24"/>
          <w:szCs w:val="24"/>
        </w:rPr>
        <w:fldChar w:fldCharType="begin"/>
      </w:r>
      <w:r w:rsidRPr="00EB5DB5">
        <w:rPr>
          <w:sz w:val="24"/>
          <w:szCs w:val="24"/>
        </w:rPr>
        <w:instrText xml:space="preserve"> IF </w:instrText>
      </w:r>
      <w:r w:rsidRPr="00EB5DB5">
        <w:rPr>
          <w:sz w:val="24"/>
          <w:szCs w:val="24"/>
        </w:rPr>
        <w:instrText>0.00</w:instrText>
      </w:r>
      <w:r w:rsidRPr="00EB5DB5">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Veerle Bergink,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Joanie Burns, Other, DNP, APRN, PMHNP-BC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Annabel Kuhn,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Jonathan Nowlin,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Puder,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next w:val="Normal"/>
    <w:uiPriority w:val="9"/>
    <w:semiHidden/>
    <w:unhideWhenUsed/>
    <w:qFormat/>
    <w:rsid w:val="00EF7B9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