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89: How to Retire Happy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89: How to Retire Happy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retirement. Some patients began to struggle with depression and anxiety when faced with retirement. These “golden years” are eagerly anticipated by all but when it came down to it, it was common for some people to feel lost, afraid, and anxious. </w:instrText>
      </w:r>
      <w:r>
        <w:rPr>
          <w:rtl w:val="0"/>
        </w:rPr>
        <w:br/>
      </w:r>
      <w:r>
        <w:rPr>
          <w:rtl w:val="0"/>
        </w:rPr>
        <w:br/>
      </w:r>
      <w:r>
        <w:rPr>
          <w:rtl w:val="0"/>
        </w:rPr>
        <w:instrText xml:space="preserve">Many resources on retirement focus on financial planning, not the other aspects that make up one’s well-being. Financial means and medical care are essential, but preparing for a fulfilling retirement involves introspection and processing.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Family Medicine, Medicine, Psychiatry &amp; Human Behavior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Physician, Nurse Practitioner, Physician Assistant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2</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some common reasons for distress when transitioning into retirement</w:instrText>
      </w:r>
    </w:p>
    <w:p w:rsidR="00467105" w:rsidP="0042796F">
      <w:pPr>
        <w:spacing w:after="0" w:line="240" w:lineRule="auto"/>
        <w:contextualSpacing/>
        <w:rPr>
          <w:sz w:val="20"/>
          <w:szCs w:val="20"/>
        </w:rPr>
      </w:pPr>
      <w:r>
        <w:rPr>
          <w:sz w:val="20"/>
          <w:szCs w:val="20"/>
        </w:rPr>
        <w:instrText>2 Describe potential categories to consider when helping someone transition into retirement</w:instrText>
      </w:r>
    </w:p>
    <w:p w:rsidR="00467105" w:rsidP="0042796F">
      <w:pPr>
        <w:spacing w:after="0" w:line="240" w:lineRule="auto"/>
        <w:contextualSpacing/>
        <w:rPr>
          <w:sz w:val="20"/>
          <w:szCs w:val="20"/>
        </w:rPr>
      </w:pPr>
      <w:r>
        <w:rPr>
          <w:sz w:val="20"/>
          <w:szCs w:val="20"/>
        </w:rPr>
        <w:instrText>3 Describe lifestyle and social factors that can lead to having more positive years in retirement</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some common reasons for distress when transitioning into retirement</w:instrText>
      </w:r>
    </w:p>
    <w:p w:rsidP="0042796F">
      <w:pPr>
        <w:spacing w:after="0" w:line="240" w:lineRule="auto"/>
        <w:contextualSpacing/>
        <w:rPr>
          <w:sz w:val="24"/>
          <w:szCs w:val="24"/>
        </w:rPr>
      </w:pPr>
      <w:r>
        <w:rPr>
          <w:sz w:val="24"/>
          <w:szCs w:val="24"/>
        </w:rPr>
        <w:instrText>2 Describe potential categories to consider when helping someone transition into retirement</w:instrText>
      </w:r>
    </w:p>
    <w:p w:rsidP="0042796F">
      <w:pPr>
        <w:spacing w:after="0" w:line="240" w:lineRule="auto"/>
        <w:contextualSpacing/>
        <w:rPr>
          <w:sz w:val="24"/>
          <w:szCs w:val="24"/>
        </w:rPr>
      </w:pPr>
      <w:r>
        <w:rPr>
          <w:sz w:val="24"/>
          <w:szCs w:val="24"/>
        </w:rPr>
        <w:instrText>3 Describe lifestyle and social factors that can lead to having more positive years in retirement</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some common reasons for distress when transitioning into retirement</w:t>
      </w:r>
    </w:p>
    <w:p w:rsidP="0042796F">
      <w:pPr>
        <w:spacing w:after="0" w:line="240" w:lineRule="auto"/>
        <w:contextualSpacing/>
        <w:rPr>
          <w:sz w:val="24"/>
          <w:szCs w:val="24"/>
        </w:rPr>
      </w:pPr>
      <w:r>
        <w:rPr>
          <w:sz w:val="24"/>
          <w:szCs w:val="24"/>
        </w:rPr>
        <w:t>2 Describe potential categories to consider when helping someone transition into retirement</w:t>
      </w:r>
    </w:p>
    <w:p w:rsidR="00467105" w:rsidP="0042796F">
      <w:pPr>
        <w:spacing w:after="0" w:line="240" w:lineRule="auto"/>
        <w:contextualSpacing/>
        <w:rPr>
          <w:sz w:val="20"/>
          <w:szCs w:val="20"/>
        </w:rPr>
      </w:pPr>
      <w:r>
        <w:rPr>
          <w:sz w:val="24"/>
          <w:szCs w:val="24"/>
        </w:rPr>
        <w:t>3 Describe lifestyle and social factors that can lead to having more positive years in retirement</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Carolina Osorio,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