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127: Using Antipsychotic Plasma Levels- Therapeutic Threshold</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127: Using Antipsychotic Plasma Levels- Therapeutic Threshold</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talks about using antipsychotic plasma levels to assess treatment response, safety, and oral medication adherence.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talks about using antipsychotic plasma levels to assess treatment response, safety, and oral medication adherence.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talks about using antipsychotic plasma levels to assess treatment response, safety, and oral medication adherence.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to monitor and use antipsychotic blood levels </w:instrText>
      </w:r>
    </w:p>
    <w:p w:rsidR="00467105" w:rsidP="0042796F">
      <w:pPr>
        <w:spacing w:after="0" w:line="240" w:lineRule="auto"/>
        <w:contextualSpacing/>
        <w:rPr>
          <w:sz w:val="20"/>
          <w:szCs w:val="20"/>
        </w:rPr>
      </w:pPr>
      <w:r>
        <w:rPr>
          <w:sz w:val="20"/>
          <w:szCs w:val="20"/>
        </w:rPr>
        <w:instrText xml:space="preserve">2 Describe what are the ideal reasons to monitor antipsychotic blood levels </w:instrText>
      </w:r>
    </w:p>
    <w:p w:rsidR="00467105" w:rsidP="0042796F">
      <w:pPr>
        <w:spacing w:after="0" w:line="240" w:lineRule="auto"/>
        <w:contextualSpacing/>
        <w:rPr>
          <w:sz w:val="20"/>
          <w:szCs w:val="20"/>
        </w:rPr>
      </w:pPr>
      <w:r>
        <w:rPr>
          <w:sz w:val="20"/>
          <w:szCs w:val="20"/>
        </w:rPr>
        <w:instrText xml:space="preserve">3 Define what issues might lead to lower or higher antipsychotic blood levels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to monitor and use antipsychotic blood levels </w:instrText>
      </w:r>
    </w:p>
    <w:p w:rsidP="0042796F">
      <w:pPr>
        <w:spacing w:after="0" w:line="240" w:lineRule="auto"/>
        <w:contextualSpacing/>
        <w:rPr>
          <w:sz w:val="24"/>
          <w:szCs w:val="24"/>
        </w:rPr>
      </w:pPr>
      <w:r>
        <w:rPr>
          <w:sz w:val="24"/>
          <w:szCs w:val="24"/>
        </w:rPr>
        <w:instrText xml:space="preserve">2 Describe what are the ideal reasons to monitor antipsychotic blood levels </w:instrText>
      </w:r>
    </w:p>
    <w:p w:rsidP="0042796F">
      <w:pPr>
        <w:spacing w:after="0" w:line="240" w:lineRule="auto"/>
        <w:contextualSpacing/>
        <w:rPr>
          <w:sz w:val="24"/>
          <w:szCs w:val="24"/>
        </w:rPr>
      </w:pPr>
      <w:r>
        <w:rPr>
          <w:sz w:val="24"/>
          <w:szCs w:val="24"/>
        </w:rPr>
        <w:instrText xml:space="preserve">3 Define what issues might lead to lower or higher antipsychotic blood levels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to monitor and use antipsychotic blood levels </w:t>
      </w:r>
    </w:p>
    <w:p w:rsidP="0042796F">
      <w:pPr>
        <w:spacing w:after="0" w:line="240" w:lineRule="auto"/>
        <w:contextualSpacing/>
        <w:rPr>
          <w:sz w:val="24"/>
          <w:szCs w:val="24"/>
        </w:rPr>
      </w:pPr>
      <w:r>
        <w:rPr>
          <w:sz w:val="24"/>
          <w:szCs w:val="24"/>
        </w:rPr>
        <w:t xml:space="preserve">2 Describe what are the ideal reasons to monitor antipsychotic blood levels </w:t>
      </w:r>
    </w:p>
    <w:p w:rsidR="00467105" w:rsidP="0042796F">
      <w:pPr>
        <w:spacing w:after="0" w:line="240" w:lineRule="auto"/>
        <w:contextualSpacing/>
        <w:rPr>
          <w:sz w:val="20"/>
          <w:szCs w:val="20"/>
        </w:rPr>
      </w:pPr>
      <w:r>
        <w:rPr>
          <w:sz w:val="24"/>
          <w:szCs w:val="24"/>
        </w:rPr>
        <w:t xml:space="preserve">3 Define what issues might lead to lower or higher antipsychotic blood levels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Meyer,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Advisor-Acadia Pharmaceuticals|Advisor-Alkermes|Advisor-Intra-Cellular Therapies|Advisor-Karuna|Advisor-Neurocrine|Advisor-Sunovion Pharmaceuticals, Inc.|Other: Speaker-Acadia Pharmaceuticals|Other: Speaker-Alkermes|Other: Speaker-Intra-Cellular Therapies|Other: Speaker-Neurocrine|Other: Speaker-Noven|Other: Speaker-Otsuka America Pharmaceutical, Inc.|Other: Speaker-Sunovion Pharmaceuticals, Inc.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