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219: Eating Disorders: Empathy, Alexithymia, Reflective Function</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219: Eating Disorders: Empathy, Alexithymia, Reflective Function</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October 2, 2024</w:t>
      </w:r>
      <w:r>
        <w:rPr>
          <w:sz w:val="24"/>
          <w:szCs w:val="24"/>
        </w:rPr>
        <w:fldChar w:fldCharType="begin"/>
      </w:r>
      <w:r>
        <w:rPr>
          <w:sz w:val="24"/>
          <w:szCs w:val="24"/>
        </w:rPr>
        <w:instrText xml:space="preserve"> IF </w:instrText>
      </w:r>
      <w:r>
        <w:rPr>
          <w:sz w:val="24"/>
          <w:szCs w:val="24"/>
        </w:rPr>
        <w:instrText>"</w:instrText>
      </w:r>
      <w:r>
        <w:rPr>
          <w:sz w:val="24"/>
          <w:szCs w:val="24"/>
        </w:rPr>
        <w:instrText>10 2 2024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will discuss eating disorders, including empathy, alexithymia, and reflective function.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will discuss eating disorders, including empathy, alexithymia, and reflective function.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will discuss eating disorders, including empathy, alexithymia, and reflective function.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0</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Describe the set of descriptive diagnoses which encompass the observable symptoms of and behavioral phenomena encompassed by the term eating disorders</w:instrText>
      </w:r>
    </w:p>
    <w:p w:rsidR="00467105" w:rsidP="0042796F">
      <w:pPr>
        <w:spacing w:after="0" w:line="240" w:lineRule="auto"/>
        <w:contextualSpacing/>
        <w:rPr>
          <w:sz w:val="20"/>
          <w:szCs w:val="20"/>
        </w:rPr>
      </w:pPr>
      <w:r>
        <w:rPr>
          <w:sz w:val="20"/>
          <w:szCs w:val="20"/>
        </w:rPr>
        <w:instrText>2 Describe how underlying personality structure and developmental issues may contribute to disordered eating.</w:instrText>
      </w:r>
    </w:p>
    <w:p w:rsidR="00467105" w:rsidP="0042796F">
      <w:pPr>
        <w:spacing w:after="0" w:line="240" w:lineRule="auto"/>
        <w:contextualSpacing/>
        <w:rPr>
          <w:sz w:val="20"/>
          <w:szCs w:val="20"/>
        </w:rPr>
      </w:pPr>
      <w:r>
        <w:rPr>
          <w:sz w:val="20"/>
          <w:szCs w:val="20"/>
        </w:rPr>
        <w:instrText>3 Define alexithymia, “object hunger”, and “father hunger” and describe how these relate to eating disorders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Describe the set of descriptive diagnoses which encompass the observable symptoms of and behavioral phenomena encompassed by the term eating disorders</w:instrText>
      </w:r>
    </w:p>
    <w:p w:rsidP="0042796F">
      <w:pPr>
        <w:spacing w:after="0" w:line="240" w:lineRule="auto"/>
        <w:contextualSpacing/>
        <w:rPr>
          <w:sz w:val="24"/>
          <w:szCs w:val="24"/>
        </w:rPr>
      </w:pPr>
      <w:r>
        <w:rPr>
          <w:sz w:val="24"/>
          <w:szCs w:val="24"/>
        </w:rPr>
        <w:instrText>2 Describe how underlying personality structure and developmental issues may contribute to disordered eating.</w:instrText>
      </w:r>
    </w:p>
    <w:p w:rsidP="0042796F">
      <w:pPr>
        <w:spacing w:after="0" w:line="240" w:lineRule="auto"/>
        <w:contextualSpacing/>
        <w:rPr>
          <w:sz w:val="24"/>
          <w:szCs w:val="24"/>
        </w:rPr>
      </w:pPr>
      <w:r>
        <w:rPr>
          <w:sz w:val="24"/>
          <w:szCs w:val="24"/>
        </w:rPr>
        <w:instrText>3 Define alexithymia, “object hunger”, and “father hunger” and describe how these relate to eating disorders</w:instrText>
      </w:r>
      <w:r w:rsidR="00467105">
        <w:rPr>
          <w:sz w:val="20"/>
          <w:szCs w:val="20"/>
        </w:rPr>
        <w:instrText xml:space="preserve">" "" </w:instrText>
      </w:r>
      <w:r w:rsidR="00467105">
        <w:rPr>
          <w:sz w:val="20"/>
          <w:szCs w:val="20"/>
        </w:rPr>
        <w:fldChar w:fldCharType="separate"/>
      </w:r>
      <w:r w:rsidR="00467105">
        <w:rPr>
          <w:sz w:val="20"/>
          <w:szCs w:val="20"/>
        </w:rPr>
        <w:t xml:space="preserve">, and </w:t>
      </w:r>
      <w:r w:rsidR="00467105">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Tom Wooldridge,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- 08/16/2024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