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Pharmacist &amp; Team-Based Care Part 1: Right Care Heart Attack &amp; Stroke Prevention (5.21.20 &amp; 9.11.23): Improving Patient Outcomes with Team-Based Care, Including Pharmacists &amp; Community Health Workers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Pharmacist &amp; Team-Based Care Part 1: Right Care Heart Attack &amp; Stroke Prevention (5.21.20 &amp; 9.11.23): Improving Patient Outcomes with Team-Based Care, Including Pharmacists &amp; Community Health Workers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December 1, 2024</w:t>
      </w:r>
      <w:r>
        <w:rPr>
          <w:sz w:val="24"/>
          <w:szCs w:val="24"/>
        </w:rPr>
        <w:fldChar w:fldCharType="begin"/>
      </w:r>
      <w:r>
        <w:rPr>
          <w:sz w:val="24"/>
          <w:szCs w:val="24"/>
        </w:rPr>
        <w:instrText xml:space="preserve"> IF </w:instrText>
      </w:r>
      <w:r>
        <w:rPr>
          <w:sz w:val="24"/>
          <w:szCs w:val="24"/>
        </w:rPr>
        <w:instrText>"</w:instrText>
      </w:r>
      <w:r>
        <w:rPr>
          <w:sz w:val="24"/>
          <w:szCs w:val="24"/>
        </w:rPr>
        <w:instrText>12 1 2024</w:instrText>
      </w:r>
      <w:r>
        <w:rPr>
          <w:sz w:val="24"/>
          <w:szCs w:val="24"/>
        </w:rPr>
        <w:instrText>"</w:instrText>
      </w:r>
      <w:r>
        <w:rPr>
          <w:sz w:val="24"/>
          <w:szCs w:val="24"/>
        </w:rPr>
        <w:instrText xml:space="preserve"> &lt;&gt; </w:instrText>
      </w:r>
      <w:r>
        <w:rPr>
          <w:sz w:val="24"/>
          <w:szCs w:val="24"/>
        </w:rPr>
        <w:instrText>"</w:instrText>
      </w:r>
      <w:r>
        <w:rPr>
          <w:sz w:val="24"/>
          <w:szCs w:val="24"/>
        </w:rPr>
        <w:instrText>7 24 2027</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July 24, 2027</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July 24, 2027</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educational activity provides a discussion of the Hyperlink 1, 2 &amp; 3 trials examining home blood pressure telemonitoring and pharmacist care to improve hypertension control. A presentation of the work and results of the San Diego Wellness Collaborative. An examination of deploying community health workers in primary care for better outcomes. A review of demonstration projects showing better outcomes by adding pharmacists to the care team, including the Los Angeles Barbershop Blood Pressure Study. The live lectures for this recording took place on May 21, 2020, and September 11, 2023.</w:instrText>
      </w:r>
    </w:p>
    <w:p>
      <w:pPr>
        <w:bidi w:val="0"/>
        <w:spacing w:after="280" w:afterAutospacing="1"/>
        <w:rPr>
          <w:rtl w:val="0"/>
        </w:rPr>
      </w:pPr>
      <w:r>
        <w:rPr>
          <w:i/>
          <w:iCs/>
          <w:rtl w:val="0"/>
        </w:rPr>
        <w:instrText>New Users</w:instrText>
      </w:r>
      <w:r>
        <w:rPr>
          <w:rtl w:val="0"/>
        </w:rPr>
        <w:br/>
      </w:r>
      <w:r>
        <w:rPr>
          <w:rtl w:val="0"/>
        </w:rPr>
        <w:instrText xml:space="preserve">To access the activities, first </w:instrText>
      </w:r>
      <w:r>
        <w:rPr>
          <w:rtl w:val="0"/>
        </w:rPr>
        <w:fldChar w:fldCharType="begin"/>
      </w:r>
      <w:r>
        <w:rPr>
          <w:rtl w:val="0"/>
        </w:rPr>
        <w:instrText xml:space="preserve"> HYPERLINK "https://uci.cloud-cme.com/createAccount.aspx?formID=11&amp;P=1500" </w:instrText>
      </w:r>
      <w:r>
        <w:rPr>
          <w:rtl w:val="0"/>
        </w:rPr>
        <w:fldChar w:fldCharType="separate"/>
      </w:r>
      <w:r>
        <w:rPr>
          <w:color w:val="0000FF"/>
          <w:u w:val="single"/>
          <w:rtl w:val="0"/>
        </w:rPr>
        <w:instrText>create a UCI CloudCME account</w:instrText>
      </w:r>
      <w:r>
        <w:rPr>
          <w:rtl w:val="0"/>
        </w:rPr>
        <w:fldChar w:fldCharType="end"/>
      </w:r>
      <w:r>
        <w:rPr>
          <w:rtl w:val="0"/>
        </w:rPr>
        <w:instrText xml:space="preserve"> through the Sign In, by clicking “Sign In or Create Account” on the menu bar and then complete your profile. You must fill-in all required fields (name, credentials, organization, address and phone number); this process should only take a couple minutes. Once you submit your profile you will be redirected to the </w:instrText>
      </w:r>
      <w:r>
        <w:rPr>
          <w:rtl w:val="0"/>
        </w:rPr>
        <w:fldChar w:fldCharType="begin"/>
      </w:r>
      <w:r>
        <w:rPr>
          <w:rtl w:val="0"/>
        </w:rPr>
        <w:instrText xml:space="preserve"> HYPERLINK "https://uci.cloud-cme.com/default.aspx" </w:instrText>
      </w:r>
      <w:r>
        <w:rPr>
          <w:rtl w:val="0"/>
        </w:rPr>
        <w:fldChar w:fldCharType="separate"/>
      </w:r>
      <w:r>
        <w:rPr>
          <w:color w:val="0000FF"/>
          <w:u w:val="single"/>
          <w:rtl w:val="0"/>
        </w:rPr>
        <w:instrText>homepage</w:instrText>
      </w:r>
      <w:r>
        <w:rPr>
          <w:rtl w:val="0"/>
        </w:rPr>
        <w:fldChar w:fldCharType="end"/>
      </w:r>
      <w:r>
        <w:rPr>
          <w:rtl w:val="0"/>
        </w:rPr>
        <w:instrText xml:space="preserve">, where you will select </w:instrText>
      </w:r>
      <w:r>
        <w:rPr>
          <w:rtl w:val="0"/>
        </w:rPr>
        <w:fldChar w:fldCharType="begin"/>
      </w:r>
      <w:r>
        <w:rPr>
          <w:rtl w:val="0"/>
        </w:rPr>
        <w:instrText xml:space="preserve"> HYPERLINK "https://uci.cloud-cme.com/course/search?p=4000&amp;curriculum=Right%20Care%20Initiative" </w:instrText>
      </w:r>
      <w:r>
        <w:rPr>
          <w:rtl w:val="0"/>
        </w:rPr>
        <w:fldChar w:fldCharType="separate"/>
      </w:r>
      <w:r>
        <w:rPr>
          <w:color w:val="0000FF"/>
          <w:u w:val="single"/>
          <w:rtl w:val="0"/>
        </w:rPr>
        <w:instrText>Right Care Initiative</w:instrText>
      </w:r>
      <w:r>
        <w:rPr>
          <w:rtl w:val="0"/>
        </w:rPr>
        <w:fldChar w:fldCharType="end"/>
      </w:r>
      <w:r>
        <w:rPr>
          <w:rtl w:val="0"/>
        </w:rPr>
        <w:instrText xml:space="preserve"> to return to the available activities. </w:instrText>
      </w:r>
    </w:p>
    <w:p>
      <w:pPr>
        <w:bidi w:val="0"/>
        <w:spacing w:after="280" w:afterAutospacing="1"/>
        <w:rPr>
          <w:rtl w:val="0"/>
        </w:rPr>
      </w:pPr>
      <w:r>
        <w:rPr>
          <w:rtl w:val="0"/>
        </w:rPr>
        <w:instrText>You must complete all required content and post-tests to receive CME credit. To obtain a CME certificate, return to </w:instrText>
      </w:r>
      <w:r>
        <w:rPr>
          <w:rtl w:val="0"/>
        </w:rPr>
        <w:fldChar w:fldCharType="begin"/>
      </w:r>
      <w:r>
        <w:rPr>
          <w:rtl w:val="0"/>
        </w:rPr>
        <w:instrText xml:space="preserve"> HYPERLINK "https://uci.cloud-cme.com/cme/?P=1001" </w:instrText>
      </w:r>
      <w:r>
        <w:rPr>
          <w:rtl w:val="0"/>
        </w:rPr>
        <w:fldChar w:fldCharType="separate"/>
      </w:r>
      <w:r>
        <w:rPr>
          <w:color w:val="0000FF"/>
          <w:u w:val="single"/>
          <w:rtl w:val="0"/>
        </w:rPr>
        <w:instrText>My CME</w:instrText>
      </w:r>
      <w:r>
        <w:rPr>
          <w:rtl w:val="0"/>
        </w:rPr>
        <w:fldChar w:fldCharType="end"/>
      </w:r>
      <w:r>
        <w:rPr>
          <w:rtl w:val="0"/>
        </w:rPr>
        <w:instrText> and complete the assigned evaluation under Evaluations and Certificates. </w:instrText>
      </w:r>
    </w:p>
    <w:p>
      <w:pPr>
        <w:bidi w:val="0"/>
        <w:spacing w:after="280" w:afterAutospacing="1"/>
        <w:rPr>
          <w:rtl w:val="0"/>
        </w:rPr>
      </w:pPr>
      <w:r>
        <w:rPr>
          <w:rtl w:val="0"/>
        </w:rPr>
        <w:instrText>For participants that need Maintenance of Certification, be sure to complete the MOC attestation in the Course Content once you have completed all required elements.</w:instrText>
      </w:r>
    </w:p>
    <w:p>
      <w:pPr>
        <w:bidi w:val="0"/>
        <w:spacing w:after="280" w:afterAutospacing="1"/>
        <w:rPr>
          <w:rtl w:val="0"/>
        </w:rPr>
      </w:pPr>
      <w:r>
        <w:rPr>
          <w:b/>
          <w:bCs/>
          <w:rtl w:val="0"/>
        </w:rPr>
        <w:instrText>MOC Approval Statement (ABIM Only):</w:instrText>
      </w:r>
      <w:r>
        <w:rPr>
          <w:rtl w:val="0"/>
        </w:rPr>
        <w:br/>
      </w:r>
      <w:r>
        <w:rPr>
          <w:rtl w:val="0"/>
        </w:rPr>
        <w:instrText>Successful completion of this CME activity, which includes participation in the evaluation component, enables the participant to earn up to 1.75 Medical Knowledge MOC points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credit.</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42796F" w:rsidRPr="0042796F" w:rsidP="0042796F">
      <w:pPr>
        <w:spacing w:after="0" w:line="240" w:lineRule="auto"/>
        <w:contextualSpacing/>
        <w:rPr>
          <w:rFonts w:cstheme="minorHAnsi"/>
          <w:sz w:val="20"/>
          <w:szCs w:val="20"/>
        </w:rPr>
      </w:pPr>
      <w:r>
        <w:rPr>
          <w:sz w:val="24"/>
          <w:szCs w:val="24"/>
        </w:rPr>
        <w:fldChar w:fldCharType="begin"/>
      </w:r>
      <w:r>
        <w:rPr>
          <w:sz w:val="24"/>
          <w:szCs w:val="24"/>
        </w:rPr>
        <w:instrText xml:space="preserve"> MERGEFIELD EventDesc </w:instrText>
      </w:r>
      <w:r>
        <w:rPr>
          <w:sz w:val="24"/>
          <w:szCs w:val="24"/>
        </w:rPr>
        <w:fldChar w:fldCharType="separate"/>
      </w:r>
      <w:r w:rsidR="001420EC">
        <w:rPr>
          <w:noProof/>
          <w:sz w:val="24"/>
          <w:szCs w:val="24"/>
        </w:rPr>
        <w:instrText>«EventDesc»</w:instrText>
      </w:r>
      <w:r>
        <w:rPr>
          <w:sz w:val="24"/>
          <w:szCs w:val="24"/>
        </w:rPr>
        <w:fldChar w:fldCharType="end"/>
      </w:r>
      <w:r>
        <w:rPr>
          <w:sz w:val="20"/>
          <w:szCs w:val="20"/>
        </w:rPr>
        <w:instrText xml:space="preserve">" "" </w:instrText>
      </w:r>
      <w:r>
        <w:rPr>
          <w:sz w:val="20"/>
          <w:szCs w:val="20"/>
        </w:rPr>
        <w:fldChar w:fldCharType="separate"/>
      </w:r>
      <w:r w:rsidR="004E13E4">
        <w:rPr>
          <w:b/>
          <w:sz w:val="20"/>
          <w:szCs w:val="20"/>
        </w:rPr>
        <w:t>Error! Unknown op code for conditional.</w:t>
      </w:r>
      <w:r w:rsidR="004E13E4">
        <w:rPr>
          <w:sz w:val="20"/>
          <w:szCs w:val="20"/>
        </w:rPr>
        <w:fldChar w:fldCharType="end"/>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fldChar w:fldCharType="begin"/>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Emergency Medicine, Family Medicine, Medicine, Neurology, Obstetrics &amp; Gynecology, Radiological Sciences, Other, Cardiology</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0</w:instrText>
      </w:r>
      <w:r w:rsidRPr="0042796F">
        <w:rPr>
          <w:rFonts w:cstheme="minorHAnsi"/>
          <w:sz w:val="20"/>
          <w:szCs w:val="20"/>
        </w:rPr>
        <w:fldChar w:fldCharType="end"/>
      </w:r>
      <w:r w:rsidRPr="0042796F">
        <w:rPr>
          <w:rFonts w:cstheme="minorHAnsi"/>
          <w:sz w:val="20"/>
          <w:szCs w:val="20"/>
        </w:rPr>
        <w:instrText xml:space="preserve">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Emergency Medicine, Family Medicine, Medicine, Neurology, Obstetrics &amp; Gynecology, Radiological Sciences, Other, Cardiology</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Neurology, Obstetrics &amp; Gynecology, Radiological Sciences, Other, Cardiology</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Neurology, Obstetrics &amp; Gynecology, Radiological Sciences, Other, Cardiology</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Emergency Medicine, Family Medicine, Medicine, Neurology, Obstetrics &amp; Gynecology, Radiological Sciences, Other, Cardiology</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Explain how deploying pharmacists on the care team &amp; telemonitoring can significantly improve blood pressure and cholesterol control, while yielding significant cost savings.</w:instrText>
      </w:r>
    </w:p>
    <w:p w:rsidR="00467105" w:rsidP="0042796F">
      <w:pPr>
        <w:spacing w:after="0" w:line="240" w:lineRule="auto"/>
        <w:contextualSpacing/>
        <w:rPr>
          <w:sz w:val="20"/>
          <w:szCs w:val="20"/>
        </w:rPr>
      </w:pPr>
      <w:r>
        <w:rPr>
          <w:sz w:val="20"/>
          <w:szCs w:val="20"/>
        </w:rPr>
        <w:instrText>2 List the benefits of and implementation steps for deploying community health care workers as part of the care team.</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Explain how deploying pharmacists on the care team &amp; telemonitoring can significantly improve blood pressure and cholesterol control, while yielding significant cost savings.</w:instrText>
      </w:r>
    </w:p>
    <w:p w:rsidP="0042796F">
      <w:pPr>
        <w:spacing w:after="0" w:line="240" w:lineRule="auto"/>
        <w:contextualSpacing/>
        <w:rPr>
          <w:sz w:val="24"/>
          <w:szCs w:val="24"/>
        </w:rPr>
      </w:pPr>
      <w:r>
        <w:rPr>
          <w:sz w:val="24"/>
          <w:szCs w:val="24"/>
        </w:rPr>
        <w:instrText>2 List the benefits of and implementation steps for deploying community health care workers as part of the care team.</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Explain how deploying pharmacists on the care team &amp; telemonitoring can significantly improve blood pressure and cholesterol control, while yielding significant cost savings.</w:t>
      </w:r>
    </w:p>
    <w:p w:rsidR="00467105" w:rsidP="0042796F">
      <w:pPr>
        <w:spacing w:after="0" w:line="240" w:lineRule="auto"/>
        <w:contextualSpacing/>
        <w:rPr>
          <w:sz w:val="20"/>
          <w:szCs w:val="20"/>
        </w:rPr>
      </w:pPr>
      <w:r>
        <w:rPr>
          <w:sz w:val="24"/>
          <w:szCs w:val="24"/>
        </w:rPr>
        <w:t>2 List the benefits of and implementation steps for deploying community health care workers as part of the care team.</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UC Berkeley</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UC Berkeley</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UC Berkeley</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1.75</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1.75</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1.75</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1.75</w:instrText>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instrText>1.75</w:instrText>
      </w:r>
      <w:r w:rsidR="00092945">
        <w:rPr>
          <w:sz w:val="24"/>
          <w:szCs w:val="24"/>
        </w:rPr>
        <w:instrText xml:space="preserve"> &gt; 0 "</w:instrText>
      </w:r>
      <w:r w:rsidR="00092945">
        <w:rPr>
          <w:sz w:val="24"/>
          <w:szCs w:val="24"/>
        </w:rPr>
        <w:instrText>1.75</w:instrText>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instrText>1.75</w:instrText>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instrText>0.00</w:instrText>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p>
    <w:p w:rsidR="00092945"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935749571"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instrText>1.75</w:instrText>
      </w:r>
      <w:r w:rsidRPr="00092945">
        <w:rPr>
          <w:sz w:val="24"/>
          <w:szCs w:val="24"/>
        </w:rPr>
        <w:instrText xml:space="preserve"> MOC point</w:instrText>
      </w:r>
      <w:r>
        <w:rPr>
          <w:sz w:val="24"/>
          <w:szCs w:val="24"/>
        </w:rPr>
        <w:instrText xml:space="preserve">(s) </w:instrText>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2336"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3360"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Pr="000063DA">
        <w:rPr>
          <w:sz w:val="24"/>
          <w:szCs w:val="24"/>
        </w:rPr>
        <w:instrText>ABMS</w:instrText>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t>MOC Statement(s)</w:t>
      </w:r>
    </w:p>
    <w:p w:rsidR="00092945"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1524180006"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t xml:space="preserve">Successful completion of this CME activity, which includes participation in the evaluation component, enables the participant to earn up to </w:t>
      </w:r>
      <w:r>
        <w:rPr>
          <w:sz w:val="24"/>
          <w:szCs w:val="24"/>
        </w:rPr>
        <w:t>1.75</w:t>
      </w:r>
      <w:r w:rsidRPr="00092945">
        <w:rPr>
          <w:sz w:val="24"/>
          <w:szCs w:val="24"/>
        </w:rPr>
        <w:t xml:space="preserve"> MOC point</w:t>
      </w:r>
      <w:r>
        <w:rPr>
          <w:sz w:val="24"/>
          <w:szCs w:val="24"/>
        </w:rPr>
        <w:t xml:space="preserve">(s) </w:t>
      </w:r>
      <w:r w:rsidRPr="00092945">
        <w:t xml:space="preserve"> </w:t>
      </w:r>
      <w:r w:rsidRPr="00092945">
        <w:rPr>
          <w:sz w:val="24"/>
          <w:szCs w:val="24"/>
        </w:rPr>
        <w:t>in the American Board of Internal Medicine’s (ABIM) Maintenance of Certification (MOC) program. It is the CME activity provider’s responsibility to submit participant completion information to ACCME for the purpose of granting ABIM MOC credit.</w:t>
      </w:r>
      <w:r w:rsidRPr="000063DA">
        <w:rPr>
          <w:sz w:val="24"/>
          <w:szCs w:val="24"/>
        </w:rPr>
        <w:t>ABMS</w:t>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Epstein,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Hattie Hanley,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M Sky, MD, FACP, FACR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Nathan D. Wong, PhD,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support-Novartis Corporation Pharmaceuticals|Consulting Fee-Novartis Corporation Pharmaceuticals|Consulting Fee-Amgen, Inc.|Consulting Fee-Ionis Pharmaceuticals|Grant or research support-Novo Nordisk (Any division)|Consulting Fee-Heart Lung|Grant or research support-Amgen, Inc.|Speakers Bureau-Novartis Corporation Pharmaceuticals - 11/08/2024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Jan Hirsch,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Bommer,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Margolis,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Hector P Rodriguez,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Ramarah Scott, CCT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Rehrauer,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Steven Chen, PharmD, FASHP, FCSHP, FNAP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Bureau-Otsuka America Pharmaceutical, Inc. - 05/08/2024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Jessica Abraham,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Katherine Bailey,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Scott Flinn,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Lironn Kraler,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- 05/15/2024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