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12th Annual UCI Neuromuscular Colloquium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12th Annual UCI Neuromuscular Colloquium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May 24, 2024</w:t>
      </w:r>
      <w:r>
        <w:rPr>
          <w:sz w:val="24"/>
          <w:szCs w:val="24"/>
        </w:rPr>
        <w:fldChar w:fldCharType="begin"/>
      </w:r>
      <w:r>
        <w:rPr>
          <w:sz w:val="24"/>
          <w:szCs w:val="24"/>
        </w:rPr>
        <w:instrText xml:space="preserve"> IF </w:instrText>
      </w:r>
      <w:r>
        <w:rPr>
          <w:sz w:val="24"/>
          <w:szCs w:val="24"/>
        </w:rPr>
        <w:instrText>"</w:instrText>
      </w:r>
      <w:r>
        <w:rPr>
          <w:sz w:val="24"/>
          <w:szCs w:val="24"/>
        </w:rPr>
        <w:instrText>5 24 2024</w:instrText>
      </w:r>
      <w:r>
        <w:rPr>
          <w:sz w:val="24"/>
          <w:szCs w:val="24"/>
        </w:rPr>
        <w:instrText>"</w:instrText>
      </w:r>
      <w:r>
        <w:rPr>
          <w:sz w:val="24"/>
          <w:szCs w:val="24"/>
        </w:rPr>
        <w:instrText xml:space="preserve"> &lt;&gt; </w:instrText>
      </w:r>
      <w:r>
        <w:rPr>
          <w:sz w:val="24"/>
          <w:szCs w:val="24"/>
        </w:rPr>
        <w:instrText>"</w:instrText>
      </w:r>
      <w:r>
        <w:rPr>
          <w:sz w:val="24"/>
          <w:szCs w:val="24"/>
        </w:rPr>
        <w:instrText>5 24 2024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colloquium is designed to encourage an atmosphere of collaboration and interaction between the various neuromuscular specialists in the US, Canada and internationally. It is a forum to discuss the latest topics and advances in neuromuscular medicine and review interesting and challenging cases, with several live patient presentations. Such activities are aimed to improve patient care by promoting closer research collaboration and the development of new research projects between the various groups and institutions.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colloquium is designed to encourage an atmosphere of collaboration and interaction between the various neuromuscular specialists in the US, Canada and internationally. It is a forum to discuss the latest topics and advances in neuromuscular medicine and review interesting and challenging cases, with several live patient presentations. Such activities are aimed to improve patient care by promoting closer research collaboration and the development of new research projects between the various groups and institutions.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colloquium is designed to encourage an atmosphere of collaboration and interaction between the various neuromuscular specialists in the US, Canada and internationally. It is a forum to discuss the latest topics and advances in neuromuscular medicine and review interesting and challenging cases, with several live patient presentations. Such activities are aimed to improve patient care by promoting closer research collaboration and the development of new research projects between the various groups and institutions.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Neurology, Pathology &amp; Laboratory Medicine, Pediatrics, Genetic And Genomic Medicine, Neurology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Neurology, Pathology &amp; Laboratory Medicine, Pediatrics, Genetic And Genomic Medicine, Neurology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Neurology, Pathology &amp; Laboratory Medicine, Pediatrics, Genetic And Genomic Medicine, Neurology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Neurology, Pathology &amp; Laboratory Medicine, Pediatrics, Genetic And Genomic Medicine, Neurology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Neurology, Pathology &amp; Laboratory Medicine, Pediatrics, Genetic And Genomic Medicine, Neurology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Audiologist, Medical Assistant, Medical Student, Nurse, Nurse Practitioner, Pharmacist, Physical Therapist, Physician Assistant, Resident Physician, Social Worker, Speech-Language Pathologist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different clinical presentations and patterns of involvement in neuromuscular diseases.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2 Understand current standards and guidelines for management of neuromuscular disorders.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3 Understand genetic basis of inherited myopathies and advancements in gene therapies.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4 Understand the changing landscape of myasthenia gravis treatment in light of recent development of targeted therapies such as complement inhibition and neonatal Fc receptor (FcRn) blockade.</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5 Identify current and emerging therapies in spinal muscular atrophy.</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6 Discuss ongoing clinical trials in Amyotrophic Lateral Sclerosis including gene targeted and cell-based therapies.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7 Identify features on muscle pathology that help distinguish distinct subtypes of inflammatory muscle diseases.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different clinical presentations and patterns of involvement in neuromuscular diseases.</w:instrTex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2 Understand current standards and guidelines for management of neuromuscular disorders.</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3 Understand genetic basis of inherited myopathies and advancements in gene therapies.</w:instrTex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4 Understand the changing landscape of myasthenia gravis treatment in light of recent development of targeted therapies such as complement inhibition and neonatal Fc receptor (FcRn) blockade.</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5 Identify current and emerging therapies in spinal muscular atrophy.</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6 Discuss ongoing clinical trials in Amyotrophic Lateral Sclerosis including gene targeted and cell-based therapies.</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7 Identify features on muscle pathology that help distinguish distinct subtypes of inflammatory muscle diseases.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different clinical presentations and patterns of involvement in neuromuscular diseases.</w: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2 Understand current standards and guidelines for management of neuromuscular disorders.</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3 Understand genetic basis of inherited myopathies and advancements in gene therapies.</w: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4 Understand the changing landscape of myasthenia gravis treatment in light of recent development of targeted therapies such as complement inhibition and neonatal Fc receptor (FcRn) blockade.</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5 Identify current and emerging therapies in spinal muscular atrophy.</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6 Discuss ongoing clinical trials in Amyotrophic Lateral Sclerosis including gene targeted and cell-based therapies.</w:t>
      </w:r>
    </w:p>
    <w:p w:rsidP="0042796F">
      <w:pPr>
        <w:spacing w:after="0" w:line="240" w:lineRule="auto"/>
        <w:contextualSpacing/>
        <w:rPr>
          <w:sz w:val="24"/>
          <w:szCs w:val="24"/>
        </w:rPr>
      </w:pPr>
    </w:p>
    <w:p w:rsidR="00467105" w:rsidP="0042796F">
      <w:pPr>
        <w:spacing w:after="0" w:line="240" w:lineRule="auto"/>
        <w:contextualSpacing/>
        <w:rPr>
          <w:sz w:val="20"/>
          <w:szCs w:val="20"/>
        </w:rPr>
      </w:pPr>
      <w:r>
        <w:rPr>
          <w:sz w:val="24"/>
          <w:szCs w:val="24"/>
        </w:rPr>
        <w:t>7 Identify features on muscle pathology that help distinguish distinct subtypes of inflammatory muscle diseases.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Learning from teaching,Live Activity</w:instrText>
      </w:r>
      <w:r>
        <w:rPr>
          <w:sz w:val="24"/>
          <w:szCs w:val="24"/>
        </w:rPr>
        <w:instrText>"</w:instrText>
      </w:r>
      <w:r>
        <w:rPr>
          <w:sz w:val="24"/>
          <w:szCs w:val="24"/>
        </w:rPr>
        <w:instrText xml:space="preserve"> &lt;&gt; "" "</w:instrText>
      </w:r>
      <w:r>
        <w:rPr>
          <w:sz w:val="24"/>
          <w:szCs w:val="24"/>
        </w:rPr>
        <w:instrText>Learning from teaching,Live Activity</w:instrText>
      </w:r>
      <w:r>
        <w:rPr>
          <w:sz w:val="24"/>
          <w:szCs w:val="24"/>
        </w:rPr>
        <w:instrText xml:space="preserve">" "activity" </w:instrText>
      </w:r>
      <w:r>
        <w:rPr>
          <w:sz w:val="24"/>
          <w:szCs w:val="24"/>
        </w:rPr>
        <w:fldChar w:fldCharType="separate"/>
      </w:r>
      <w:r>
        <w:rPr>
          <w:sz w:val="24"/>
          <w:szCs w:val="24"/>
        </w:rPr>
        <w:t>Learning from teaching,Live Activity</w:t>
      </w:r>
      <w:r>
        <w:rPr>
          <w:sz w:val="24"/>
          <w:szCs w:val="24"/>
        </w:rPr>
        <w:fldChar w:fldCharType="end"/>
      </w:r>
      <w:r w:rsidRPr="00CC147B">
        <w:rPr>
          <w:sz w:val="24"/>
          <w:szCs w:val="24"/>
        </w:rPr>
        <w:t xml:space="preserve"> for a maximum of </w:t>
      </w:r>
      <w:r>
        <w:rPr>
          <w:sz w:val="24"/>
          <w:szCs w:val="24"/>
        </w:rPr>
        <w:t>8.00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Mindi Word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Tahseen Mozaffar,, MD, Professor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support-Alexion Pharmaceuticals|Consulting Fee-Amicus|Grant or research support-Amicus|Consulting Fee-Sanofi|Grant or research support-Sanofi S.A.|Advisor-Maze Therapeutics|Grant or research support-Spark Therapeutics (Relationship has ended)|Consulting Fee-Cabaletta (Relationship has ended)|Grant or research support-AnnJi|Grant or research support-Ask Bio|Consulting Fee-Horizon Therapeutics|Grant or research support-Cabaletta|Consulting Fee-Janssen (Any division) (Relationship has ended)|Consulting Fee-Argenx|Grant or research support-Argenx|Consulting Fee-Merck (Any division)|Honoraria-Muscular Dystrophy Association|Consulting Fee-Regeneron Pharmaceuticals, Inc.|Consulting Fee-UCB|Consulting Fee-Horizon Pharmaceuticals|Grant or research support-Astellas (Any division)|Consulting Fee-Alexion Pharmaceuticals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 A Habib,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support-argenx|Grant or research support-Alexion Pharmaceuticals|Grant or research support-UCB|Grant or research support-CabalettaBio|Grant or research support-Genentech (Any division)|Grant or research support-Immunovant|Grant or research support-Regeneron Pharmaceuticals, Inc.|Grant or research support-VielaBio-Horizon|Speakers Bureau-Alexion Pharmaceuticals|Speakers Bureau-UCB|Speakers Bureau-argenx|Membership on Advisory Committees or Review Panels, Board Membership, etc.-argenx|Membership on Advisory Committees or Review Panels, Board Membership, etc.-UCB|Membership on Advisory Committees or Review Panels, Board Membership, etc.-Roche (Any division)|Paid consultant-NMDPharma|Paid consultant-Alpine Immune Sciences|Membership on Advisory Committees or Review Panels, Board Membership, etc.-Immunis Biomedical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Namita Goyal,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support-Abcuro|Grant or research support-Amylyx (Relationship has ended)|Grant or research support-Alexion|Grant or research support-Annexon|Grant or research support-Brainstorm Cell Therapeutics (Relationship has ended)|Grant or research support-Calico|Grant or research support-Fulcrum|Grant or research support-Janssen|Grant or research support-Medicinova|Grant or research support-MT Pharma (Relationship has ended)|Grant or research support-PTC therapeutics|Grant or research support-Sanofi|Speakers Bureau-Argenx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 Perez-Rosendahl,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 Connolly, MD,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Advisor-Sarepta Therapeutics|Advisor-Edgewise Therapeutics|Grant or research support-Scholar Rock|Grant or research support-Biohaven|Grant or research support-Novartis - 02/17/2024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A Waldrop,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Advisor-Novartis Corporation Pharmaceuticals (Relationship has ended)|Consulting Fee-Sarepta Therapeutics|Grant or research support-Sarepta Therapeutics|Grant or research support-Novartis Corporation Pharmaceuticals|Grant or research support-Astelllas Gene Therapies (Relationship has ended)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Prepageran Narayanan,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J. Silvestri,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Ruzhansky,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Advisor-Alexion Pharmaceuticals|Advisor-Argenx|Advisor-Amylyx (Relationship has ended)|Advisor-UCB|Advisor-Immunovant|Grant or research support-Alexion Pharmaceuticals (Relationship has ended)|Grant or research support-Argenx (Relationship has ended)|Grant or research support-UCB|Grant or research support-Janssen (Any division)|Grant or research support-Immunovant - 03/01/2024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