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UC Irvine Gavin Herbert Eye Institute 19th Annual Colloquium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UC Irvine Gavin Herbert Eye Institute 19th Annual Colloquium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3, 2025</w:t>
      </w:r>
      <w:r>
        <w:rPr>
          <w:sz w:val="24"/>
          <w:szCs w:val="24"/>
        </w:rPr>
        <w:fldChar w:fldCharType="begin"/>
      </w:r>
      <w:r>
        <w:rPr>
          <w:sz w:val="24"/>
          <w:szCs w:val="24"/>
        </w:rPr>
        <w:instrText xml:space="preserve"> IF </w:instrText>
      </w:r>
      <w:r>
        <w:rPr>
          <w:sz w:val="24"/>
          <w:szCs w:val="24"/>
        </w:rPr>
        <w:instrText>"</w:instrText>
      </w:r>
      <w:r>
        <w:rPr>
          <w:sz w:val="24"/>
          <w:szCs w:val="24"/>
        </w:rPr>
        <w:instrText>10 3 2025</w:instrText>
      </w:r>
      <w:r>
        <w:rPr>
          <w:sz w:val="24"/>
          <w:szCs w:val="24"/>
        </w:rPr>
        <w:instrText>"</w:instrText>
      </w:r>
      <w:r>
        <w:rPr>
          <w:sz w:val="24"/>
          <w:szCs w:val="24"/>
        </w:rPr>
        <w:instrText xml:space="preserve"> &lt;&gt; </w:instrText>
      </w:r>
      <w:r>
        <w:rPr>
          <w:sz w:val="24"/>
          <w:szCs w:val="24"/>
        </w:rPr>
        <w:instrText>"</w:instrText>
      </w:r>
      <w:r>
        <w:rPr>
          <w:sz w:val="24"/>
          <w:szCs w:val="24"/>
        </w:rPr>
        <w:instrText>10 4 2025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The Gavin Herbert Eye Institute will organize this educational conference, which will be held on October 3-4, 2025. Goals: 1) to bring together vision clinicians and researchers from UC Irvine and the rest of the world so we can expand our knowledge and collaborate; 2) to promote education and interactions with local, regional, national and global Ophthalmology health care providers; and 3) to expand our interactions with the ophthalmic companies in the area. Speakers include UC Irvine Gavin Herbert Eye Institute ophthalmologists and researchers, and guest speakers who are specialists in their fields. Opportunity for ophthalmic companies to exhibit. The goal of this year’s conference is to create synergy by bringing clinicians and researchers together to establish collaborations. Ophthalmologists interested in the comprehensive, clinical applications and translational research that address eye diseases are the main target audience.</w:instrText>
      </w:r>
    </w:p>
    <w:p>
      <w:pPr>
        <w:bidi w:val="0"/>
        <w:spacing w:after="280" w:afterAutospacing="1"/>
        <w:rPr>
          <w:rtl w:val="0"/>
        </w:rPr>
      </w:pPr>
      <w:r>
        <w:rPr>
          <w:b/>
          <w:bCs/>
          <w:rtl w:val="0"/>
        </w:rPr>
        <w:instrText>Registration Fees</w:instrText>
      </w:r>
    </w:p>
    <w:p>
      <w:pPr>
        <w:numPr>
          <w:ilvl w:val="0"/>
          <w:numId w:val="1"/>
        </w:numPr>
        <w:bidi w:val="0"/>
        <w:spacing w:after="280" w:afterAutospacing="1"/>
        <w:rPr>
          <w:rtl w:val="0"/>
        </w:rPr>
      </w:pPr>
      <w:r>
        <w:rPr>
          <w:rtl w:val="0"/>
        </w:rPr>
        <w:instrText>$175 Early Bird Registration</w:instrText>
      </w:r>
    </w:p>
    <w:p>
      <w:pPr>
        <w:numPr>
          <w:ilvl w:val="0"/>
          <w:numId w:val="1"/>
        </w:numPr>
        <w:bidi w:val="0"/>
        <w:spacing w:after="280" w:afterAutospacing="1"/>
        <w:rPr>
          <w:rtl w:val="0"/>
        </w:rPr>
      </w:pPr>
      <w:r>
        <w:rPr>
          <w:rtl w:val="0"/>
        </w:rPr>
        <w:instrText>$225 Beginning September 3</w:instrText>
      </w:r>
    </w:p>
    <w:p>
      <w:pPr>
        <w:bidi w:val="0"/>
        <w:spacing w:after="280" w:afterAutospacing="1"/>
        <w:rPr>
          <w:rtl w:val="0"/>
        </w:rPr>
      </w:pPr>
      <w:r>
        <w:rPr>
          <w:b/>
          <w:bCs/>
          <w:rtl w:val="0"/>
        </w:rPr>
        <w:instrText xml:space="preserve">Click the register tab above to see further details for </w:instrText>
      </w:r>
    </w:p>
    <w:p>
      <w:pPr>
        <w:numPr>
          <w:ilvl w:val="0"/>
          <w:numId w:val="2"/>
        </w:numPr>
        <w:bidi w:val="0"/>
        <w:spacing w:after="280" w:afterAutospacing="1"/>
        <w:rPr>
          <w:rtl w:val="0"/>
        </w:rPr>
      </w:pPr>
      <w:r>
        <w:rPr>
          <w:rtl w:val="0"/>
        </w:rPr>
        <w:instrText>GHEI Faculty, Staff, Residents, Fellows &amp; Medical Students Registration</w:instrText>
      </w:r>
    </w:p>
    <w:p>
      <w:pPr>
        <w:numPr>
          <w:ilvl w:val="0"/>
          <w:numId w:val="2"/>
        </w:numPr>
        <w:bidi w:val="0"/>
        <w:spacing w:after="280" w:afterAutospacing="1"/>
        <w:rPr>
          <w:rtl w:val="0"/>
        </w:rPr>
      </w:pPr>
      <w:r>
        <w:rPr>
          <w:rtl w:val="0"/>
        </w:rPr>
        <w:instrText xml:space="preserve">Exhibitor Registration </w:instrText>
      </w:r>
    </w:p>
    <w:p>
      <w:pPr>
        <w:numPr>
          <w:ilvl w:val="0"/>
          <w:numId w:val="2"/>
        </w:numPr>
        <w:bidi w:val="0"/>
        <w:spacing w:after="280" w:afterAutospacing="1"/>
        <w:rPr>
          <w:rtl w:val="0"/>
        </w:rPr>
      </w:pPr>
      <w:r>
        <w:rPr>
          <w:rtl w:val="0"/>
        </w:rPr>
        <w:instrText>Sponsorship Registration</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The Gavin Herbert Eye Institute will organize this educational conference, which will be held on October 3-4, 2025. Goals: 1) to bring together vision clinicians and researchers from UC Irvine and the rest of the world so we can expand our knowledge and collaborate; 2) to promote education and interactions with local, regional, national and global Ophthalmology health care providers; and 3) to expand our interactions with the ophthalmic companies in the area. Speakers include UC Irvine Gavin Herbert Eye Institute ophthalmologists and researchers, and guest speakers who are specialists in their fields. Opportunity for ophthalmic companies to exhibit. The goal of this year’s conference is to create synergy by bringing clinicians and researchers together to establish collaborations. Ophthalmologists interested in the comprehensive, clinical applications and translational research that address eye diseases are the main target audience.</w:instrText>
      </w:r>
    </w:p>
    <w:p>
      <w:pPr>
        <w:bidi w:val="0"/>
        <w:spacing w:after="280" w:afterAutospacing="1"/>
        <w:rPr>
          <w:rtl w:val="0"/>
        </w:rPr>
      </w:pPr>
      <w:r>
        <w:rPr>
          <w:b/>
          <w:bCs/>
          <w:rtl w:val="0"/>
        </w:rPr>
        <w:instrText>Registration Fees</w:instrText>
      </w:r>
    </w:p>
    <w:p>
      <w:pPr>
        <w:numPr>
          <w:ilvl w:val="0"/>
          <w:numId w:val="3"/>
        </w:numPr>
        <w:bidi w:val="0"/>
        <w:spacing w:after="280" w:afterAutospacing="1"/>
        <w:rPr>
          <w:rtl w:val="0"/>
        </w:rPr>
      </w:pPr>
      <w:r>
        <w:rPr>
          <w:rtl w:val="0"/>
        </w:rPr>
        <w:instrText>$175 Early Bird Registration</w:instrText>
      </w:r>
    </w:p>
    <w:p>
      <w:pPr>
        <w:numPr>
          <w:ilvl w:val="0"/>
          <w:numId w:val="3"/>
        </w:numPr>
        <w:bidi w:val="0"/>
        <w:spacing w:after="280" w:afterAutospacing="1"/>
        <w:rPr>
          <w:rtl w:val="0"/>
        </w:rPr>
      </w:pPr>
      <w:r>
        <w:rPr>
          <w:rtl w:val="0"/>
        </w:rPr>
        <w:instrText>$225 Beginning September 3</w:instrText>
      </w:r>
    </w:p>
    <w:p>
      <w:pPr>
        <w:bidi w:val="0"/>
        <w:spacing w:after="280" w:afterAutospacing="1"/>
        <w:rPr>
          <w:rtl w:val="0"/>
        </w:rPr>
      </w:pPr>
      <w:r>
        <w:rPr>
          <w:b/>
          <w:bCs/>
          <w:rtl w:val="0"/>
        </w:rPr>
        <w:instrText xml:space="preserve">Click the register tab above to see further details for </w:instrText>
      </w:r>
    </w:p>
    <w:p>
      <w:pPr>
        <w:numPr>
          <w:ilvl w:val="0"/>
          <w:numId w:val="4"/>
        </w:numPr>
        <w:bidi w:val="0"/>
        <w:spacing w:after="280" w:afterAutospacing="1"/>
        <w:rPr>
          <w:rtl w:val="0"/>
        </w:rPr>
      </w:pPr>
      <w:r>
        <w:rPr>
          <w:rtl w:val="0"/>
        </w:rPr>
        <w:instrText>GHEI Faculty, Staff, Residents, Fellows &amp; Medical Students Registration</w:instrText>
      </w:r>
    </w:p>
    <w:p>
      <w:pPr>
        <w:numPr>
          <w:ilvl w:val="0"/>
          <w:numId w:val="4"/>
        </w:numPr>
        <w:bidi w:val="0"/>
        <w:spacing w:after="280" w:afterAutospacing="1"/>
        <w:rPr>
          <w:rtl w:val="0"/>
        </w:rPr>
      </w:pPr>
      <w:r>
        <w:rPr>
          <w:rtl w:val="0"/>
        </w:rPr>
        <w:instrText xml:space="preserve">Exhibitor Registration </w:instrText>
      </w:r>
    </w:p>
    <w:p>
      <w:pPr>
        <w:numPr>
          <w:ilvl w:val="0"/>
          <w:numId w:val="4"/>
        </w:numPr>
        <w:bidi w:val="0"/>
        <w:spacing w:after="280" w:afterAutospacing="1"/>
        <w:rPr>
          <w:rtl w:val="0"/>
        </w:rPr>
      </w:pPr>
      <w:r>
        <w:rPr>
          <w:rtl w:val="0"/>
        </w:rPr>
        <w:instrText>Sponsorship Registration</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The Gavin Herbert Eye Institute will organize this educational conference, which will be held on October 3-4, 2025. Goals: 1) to bring together vision clinicians and researchers from UC Irvine and the rest of the world so we can expand our knowledge and collaborate; 2) to promote education and interactions with local, regional, national and global Ophthalmology health care providers; and 3) to expand our interactions with the ophthalmic companies in the area. Speakers include UC Irvine Gavin Herbert Eye Institute ophthalmologists and researchers, and guest speakers who are specialists in their fields. Opportunity for ophthalmic companies to exhibit. The goal of this year’s conference is to create synergy by bringing clinicians and researchers together to establish collaborations. Ophthalmologists interested in the comprehensive, clinical applications and translational research that address eye diseases are the main target audience.</w:t>
      </w:r>
    </w:p>
    <w:p>
      <w:pPr>
        <w:bidi w:val="0"/>
        <w:spacing w:after="280" w:afterAutospacing="1"/>
        <w:rPr>
          <w:rtl w:val="0"/>
        </w:rPr>
      </w:pPr>
      <w:r>
        <w:rPr>
          <w:b/>
          <w:bCs/>
          <w:rtl w:val="0"/>
        </w:rPr>
        <w:t>Registration Fees</w:t>
      </w:r>
    </w:p>
    <w:p>
      <w:pPr>
        <w:numPr>
          <w:ilvl w:val="0"/>
          <w:numId w:val="3"/>
        </w:numPr>
        <w:bidi w:val="0"/>
        <w:spacing w:after="280" w:afterAutospacing="1"/>
        <w:rPr>
          <w:rtl w:val="0"/>
        </w:rPr>
      </w:pPr>
      <w:r>
        <w:rPr>
          <w:rtl w:val="0"/>
        </w:rPr>
        <w:t>$175 Early Bird Registration</w:t>
      </w:r>
    </w:p>
    <w:p>
      <w:pPr>
        <w:numPr>
          <w:ilvl w:val="0"/>
          <w:numId w:val="3"/>
        </w:numPr>
        <w:bidi w:val="0"/>
        <w:spacing w:after="280" w:afterAutospacing="1"/>
        <w:rPr>
          <w:rtl w:val="0"/>
        </w:rPr>
      </w:pPr>
      <w:r>
        <w:rPr>
          <w:rtl w:val="0"/>
        </w:rPr>
        <w:t>$225 Beginning September 3</w:t>
      </w:r>
    </w:p>
    <w:p>
      <w:pPr>
        <w:bidi w:val="0"/>
        <w:spacing w:after="280" w:afterAutospacing="1"/>
        <w:rPr>
          <w:rtl w:val="0"/>
        </w:rPr>
      </w:pPr>
      <w:r>
        <w:rPr>
          <w:b/>
          <w:bCs/>
          <w:rtl w:val="0"/>
        </w:rPr>
        <w:t xml:space="preserve">Click the register tab above to see further details for </w:t>
      </w:r>
    </w:p>
    <w:p>
      <w:pPr>
        <w:numPr>
          <w:ilvl w:val="0"/>
          <w:numId w:val="4"/>
        </w:numPr>
        <w:bidi w:val="0"/>
        <w:spacing w:after="280" w:afterAutospacing="1"/>
        <w:rPr>
          <w:rtl w:val="0"/>
        </w:rPr>
      </w:pPr>
      <w:r>
        <w:rPr>
          <w:rtl w:val="0"/>
        </w:rPr>
        <w:t>GHEI Faculty, Staff, Residents, Fellows &amp; Medical Students Registration</w:t>
      </w:r>
    </w:p>
    <w:p>
      <w:pPr>
        <w:numPr>
          <w:ilvl w:val="0"/>
          <w:numId w:val="4"/>
        </w:numPr>
        <w:bidi w:val="0"/>
        <w:spacing w:after="280" w:afterAutospacing="1"/>
        <w:rPr>
          <w:rtl w:val="0"/>
        </w:rPr>
      </w:pPr>
      <w:r>
        <w:rPr>
          <w:rtl w:val="0"/>
        </w:rPr>
        <w:t xml:space="preserve">Exhibitor Registration </w:t>
      </w:r>
    </w:p>
    <w:p>
      <w:pPr>
        <w:numPr>
          <w:ilvl w:val="0"/>
          <w:numId w:val="4"/>
        </w:numPr>
        <w:bidi w:val="0"/>
        <w:spacing w:after="280" w:afterAutospacing="1"/>
        <w:rPr>
          <w:rtl w:val="0"/>
        </w:rPr>
      </w:pPr>
      <w:r>
        <w:rPr>
          <w:rtl w:val="0"/>
        </w:rPr>
        <w:t>Sponsorship Registration</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Ophthalmology</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Medical Student, Resident Physician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Ophthalmology</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Ophthalmology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Ophthalmology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Medical Student, Resident Physician</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Medical Student, Resident Physician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Medical Student, Resident 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Ophthalmology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Medical Student, Resident Physician</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Understand refractive surgery market trends</w:instrText>
      </w:r>
    </w:p>
    <w:p w:rsidR="00467105" w:rsidP="0042796F">
      <w:pPr>
        <w:spacing w:after="0" w:line="240" w:lineRule="auto"/>
        <w:contextualSpacing/>
        <w:rPr>
          <w:sz w:val="20"/>
          <w:szCs w:val="20"/>
        </w:rPr>
      </w:pPr>
      <w:r>
        <w:rPr>
          <w:sz w:val="20"/>
          <w:szCs w:val="20"/>
        </w:rPr>
        <w:instrText>2 Apply guides for step-by-step office-based corneal procedures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3 Explain the prevention and management of pseudophakic macular edema</w:instrText>
      </w:r>
    </w:p>
    <w:p w:rsidR="00467105" w:rsidP="0042796F">
      <w:pPr>
        <w:spacing w:after="0" w:line="240" w:lineRule="auto"/>
        <w:contextualSpacing/>
        <w:rPr>
          <w:sz w:val="20"/>
          <w:szCs w:val="20"/>
        </w:rPr>
      </w:pPr>
      <w:r>
        <w:rPr>
          <w:sz w:val="20"/>
          <w:szCs w:val="20"/>
        </w:rPr>
        <w:instrText>4 Implement pharmacological, optical and lifestyle interventions for myopia control</w:instrText>
      </w:r>
    </w:p>
    <w:p w:rsidR="00467105" w:rsidP="0042796F">
      <w:pPr>
        <w:spacing w:after="0" w:line="240" w:lineRule="auto"/>
        <w:contextualSpacing/>
        <w:rPr>
          <w:sz w:val="20"/>
          <w:szCs w:val="20"/>
        </w:rPr>
      </w:pPr>
      <w:r>
        <w:rPr>
          <w:sz w:val="20"/>
          <w:szCs w:val="20"/>
        </w:rPr>
        <w:instrText>5 Evaluate systemic medication toxicity with an emphasis on neuro-ophthalmic manifestations</w:instrText>
      </w:r>
    </w:p>
    <w:p w:rsidR="00467105" w:rsidP="0042796F">
      <w:pPr>
        <w:spacing w:after="0" w:line="240" w:lineRule="auto"/>
        <w:contextualSpacing/>
        <w:rPr>
          <w:sz w:val="20"/>
          <w:szCs w:val="20"/>
        </w:rPr>
      </w:pPr>
      <w:r>
        <w:rPr>
          <w:sz w:val="20"/>
          <w:szCs w:val="20"/>
        </w:rPr>
        <w:instrText>6 Recall angle closure considerations during cataract surgery</w:instrText>
      </w:r>
    </w:p>
    <w:p w:rsidR="00467105" w:rsidP="0042796F">
      <w:pPr>
        <w:spacing w:after="0" w:line="240" w:lineRule="auto"/>
        <w:contextualSpacing/>
        <w:rPr>
          <w:sz w:val="20"/>
          <w:szCs w:val="20"/>
        </w:rPr>
      </w:pPr>
      <w:r>
        <w:rPr>
          <w:sz w:val="20"/>
          <w:szCs w:val="20"/>
        </w:rPr>
        <w:instrText>7 Identify ocular inflammatory masqueraders</w:instrText>
      </w:r>
    </w:p>
    <w:p w:rsidR="00467105" w:rsidP="0042796F">
      <w:pPr>
        <w:spacing w:after="0" w:line="240" w:lineRule="auto"/>
        <w:contextualSpacing/>
        <w:rPr>
          <w:sz w:val="20"/>
          <w:szCs w:val="20"/>
        </w:rPr>
      </w:pPr>
      <w:r>
        <w:rPr>
          <w:sz w:val="20"/>
          <w:szCs w:val="20"/>
        </w:rPr>
        <w:instrText>8 Consider innovations in eyelid reconstruction after trauma or tumor resection</w:instrText>
      </w:r>
    </w:p>
    <w:p w:rsidR="00467105" w:rsidP="0042796F">
      <w:pPr>
        <w:spacing w:after="0" w:line="240" w:lineRule="auto"/>
        <w:contextualSpacing/>
        <w:rPr>
          <w:sz w:val="20"/>
          <w:szCs w:val="20"/>
        </w:rPr>
      </w:pPr>
      <w:r>
        <w:rPr>
          <w:sz w:val="20"/>
          <w:szCs w:val="20"/>
        </w:rPr>
        <w:instrText>9 Apply pearls for success in private practice as shared in the UCI Alumni Showcase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Understand refractive surgery market trends</w:instrText>
      </w:r>
    </w:p>
    <w:p w:rsidP="0042796F">
      <w:pPr>
        <w:spacing w:after="0" w:line="240" w:lineRule="auto"/>
        <w:contextualSpacing/>
        <w:rPr>
          <w:sz w:val="24"/>
          <w:szCs w:val="24"/>
        </w:rPr>
      </w:pPr>
      <w:r>
        <w:rPr>
          <w:sz w:val="24"/>
          <w:szCs w:val="24"/>
        </w:rPr>
        <w:instrText>2 Apply guides for step-by-step office-based corneal procedures</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3 Explain the prevention and management of pseudophakic macular edema</w:instrText>
      </w:r>
    </w:p>
    <w:p w:rsidP="0042796F">
      <w:pPr>
        <w:spacing w:after="0" w:line="240" w:lineRule="auto"/>
        <w:contextualSpacing/>
        <w:rPr>
          <w:sz w:val="24"/>
          <w:szCs w:val="24"/>
        </w:rPr>
      </w:pPr>
      <w:r>
        <w:rPr>
          <w:sz w:val="24"/>
          <w:szCs w:val="24"/>
        </w:rPr>
        <w:instrText>4 Implement pharmacological, optical and lifestyle interventions for myopia control</w:instrText>
      </w:r>
    </w:p>
    <w:p w:rsidP="0042796F">
      <w:pPr>
        <w:spacing w:after="0" w:line="240" w:lineRule="auto"/>
        <w:contextualSpacing/>
        <w:rPr>
          <w:sz w:val="24"/>
          <w:szCs w:val="24"/>
        </w:rPr>
      </w:pPr>
      <w:r>
        <w:rPr>
          <w:sz w:val="24"/>
          <w:szCs w:val="24"/>
        </w:rPr>
        <w:instrText>5 Evaluate systemic medication toxicity with an emphasis on neuro-ophthalmic manifestations</w:instrText>
      </w:r>
    </w:p>
    <w:p w:rsidP="0042796F">
      <w:pPr>
        <w:spacing w:after="0" w:line="240" w:lineRule="auto"/>
        <w:contextualSpacing/>
        <w:rPr>
          <w:sz w:val="24"/>
          <w:szCs w:val="24"/>
        </w:rPr>
      </w:pPr>
      <w:r>
        <w:rPr>
          <w:sz w:val="24"/>
          <w:szCs w:val="24"/>
        </w:rPr>
        <w:instrText>6 Recall angle closure considerations during cataract surgery</w:instrText>
      </w:r>
    </w:p>
    <w:p w:rsidP="0042796F">
      <w:pPr>
        <w:spacing w:after="0" w:line="240" w:lineRule="auto"/>
        <w:contextualSpacing/>
        <w:rPr>
          <w:sz w:val="24"/>
          <w:szCs w:val="24"/>
        </w:rPr>
      </w:pPr>
      <w:r>
        <w:rPr>
          <w:sz w:val="24"/>
          <w:szCs w:val="24"/>
        </w:rPr>
        <w:instrText>7 Identify ocular inflammatory masqueraders</w:instrText>
      </w:r>
    </w:p>
    <w:p w:rsidP="0042796F">
      <w:pPr>
        <w:spacing w:after="0" w:line="240" w:lineRule="auto"/>
        <w:contextualSpacing/>
        <w:rPr>
          <w:sz w:val="24"/>
          <w:szCs w:val="24"/>
        </w:rPr>
      </w:pPr>
      <w:r>
        <w:rPr>
          <w:sz w:val="24"/>
          <w:szCs w:val="24"/>
        </w:rPr>
        <w:instrText>8 Consider innovations in eyelid reconstruction after trauma or tumor resection</w:instrText>
      </w:r>
    </w:p>
    <w:p w:rsidP="0042796F">
      <w:pPr>
        <w:spacing w:after="0" w:line="240" w:lineRule="auto"/>
        <w:contextualSpacing/>
        <w:rPr>
          <w:sz w:val="24"/>
          <w:szCs w:val="24"/>
        </w:rPr>
      </w:pPr>
      <w:r>
        <w:rPr>
          <w:sz w:val="24"/>
          <w:szCs w:val="24"/>
        </w:rPr>
        <w:instrText>9 Apply pearls for success in private practice as shared in the UCI Alumni Showcase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Understand refractive surgery market trends</w:t>
      </w:r>
    </w:p>
    <w:p w:rsidP="0042796F">
      <w:pPr>
        <w:spacing w:after="0" w:line="240" w:lineRule="auto"/>
        <w:contextualSpacing/>
        <w:rPr>
          <w:sz w:val="24"/>
          <w:szCs w:val="24"/>
        </w:rPr>
      </w:pPr>
      <w:r>
        <w:rPr>
          <w:sz w:val="24"/>
          <w:szCs w:val="24"/>
        </w:rPr>
        <w:t>2 Apply guides for step-by-step office-based corneal procedures</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3 Explain the prevention and management of pseudophakic macular edema</w:t>
      </w:r>
    </w:p>
    <w:p w:rsidP="0042796F">
      <w:pPr>
        <w:spacing w:after="0" w:line="240" w:lineRule="auto"/>
        <w:contextualSpacing/>
        <w:rPr>
          <w:sz w:val="24"/>
          <w:szCs w:val="24"/>
        </w:rPr>
      </w:pPr>
      <w:r>
        <w:rPr>
          <w:sz w:val="24"/>
          <w:szCs w:val="24"/>
        </w:rPr>
        <w:t>4 Implement pharmacological, optical and lifestyle interventions for myopia control</w:t>
      </w:r>
    </w:p>
    <w:p w:rsidP="0042796F">
      <w:pPr>
        <w:spacing w:after="0" w:line="240" w:lineRule="auto"/>
        <w:contextualSpacing/>
        <w:rPr>
          <w:sz w:val="24"/>
          <w:szCs w:val="24"/>
        </w:rPr>
      </w:pPr>
      <w:r>
        <w:rPr>
          <w:sz w:val="24"/>
          <w:szCs w:val="24"/>
        </w:rPr>
        <w:t>5 Evaluate systemic medication toxicity with an emphasis on neuro-ophthalmic manifestations</w:t>
      </w:r>
    </w:p>
    <w:p w:rsidP="0042796F">
      <w:pPr>
        <w:spacing w:after="0" w:line="240" w:lineRule="auto"/>
        <w:contextualSpacing/>
        <w:rPr>
          <w:sz w:val="24"/>
          <w:szCs w:val="24"/>
        </w:rPr>
      </w:pPr>
      <w:r>
        <w:rPr>
          <w:sz w:val="24"/>
          <w:szCs w:val="24"/>
        </w:rPr>
        <w:t>6 Recall angle closure considerations during cataract surgery</w:t>
      </w:r>
    </w:p>
    <w:p w:rsidP="0042796F">
      <w:pPr>
        <w:spacing w:after="0" w:line="240" w:lineRule="auto"/>
        <w:contextualSpacing/>
        <w:rPr>
          <w:sz w:val="24"/>
          <w:szCs w:val="24"/>
        </w:rPr>
      </w:pPr>
      <w:r>
        <w:rPr>
          <w:sz w:val="24"/>
          <w:szCs w:val="24"/>
        </w:rPr>
        <w:t>7 Identify ocular inflammatory masqueraders</w:t>
      </w:r>
    </w:p>
    <w:p w:rsidP="0042796F">
      <w:pPr>
        <w:spacing w:after="0" w:line="240" w:lineRule="auto"/>
        <w:contextualSpacing/>
        <w:rPr>
          <w:sz w:val="24"/>
          <w:szCs w:val="24"/>
        </w:rPr>
      </w:pPr>
      <w:r>
        <w:rPr>
          <w:sz w:val="24"/>
          <w:szCs w:val="24"/>
        </w:rPr>
        <w:t>8 Consider innovations in eyelid reconstruction after trauma or tumor resection</w:t>
      </w:r>
    </w:p>
    <w:p w:rsidR="00467105" w:rsidP="0042796F">
      <w:pPr>
        <w:spacing w:after="0" w:line="240" w:lineRule="auto"/>
        <w:contextualSpacing/>
        <w:rPr>
          <w:sz w:val="20"/>
          <w:szCs w:val="20"/>
        </w:rPr>
      </w:pPr>
      <w:r>
        <w:rPr>
          <w:sz w:val="24"/>
          <w:szCs w:val="24"/>
        </w:rPr>
        <w:t>9 Apply pearls for success in private practice as shared in the UCI Alumni Showcase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Collinson,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Lu,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 Delgado,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Del Valle Estopinal,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Wade,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Fee-Johnson &amp; Johnson|Consulting Fee-Vialase (Relationship has ended)|Consulting Fee-Glaukos|Consulting Fee-Centricity Vision (Relationship has ended) - 04/09/2025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Lilangi Ediriwickrema,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Sumit (Sam) Garg,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Fee-Johnson &amp; Johnson|Consulting Fee-Aldeyra|Consulting Fee-AbbVie (Any division)|Consulting Fee-BVI|Consulting Fee-Centricity Vision (Relationship has ended)|Consulting Fee-CorneaGen|Honoraria-Dompe|Honoraria-Expert Opinion|Consulting Fee-Emmecell|Advisor-ForSight Robotics|Consulting Fee-Glaukos|Consulting Fee-Hoya (Relationship has ended)|Consulting Fee-Kala (Relationship has ended)|Advisor-LensGen (Relationship has ended)|Ownership-OcuTrx (Relationship has ended)|Consulting Fee-Rayner|Consulting Fee-Sight Sciences|Consulting Fee-Samsara (Relationship has ended)|Advisor-SpyGlass|Consulting Fee-Tarsus|Consulting Fee-Trefoil (Relationship has ended)|Consulting Fee-Verana Health (Relationship has ended)|Consulting Fee-Versea|Consulting Fee-Visus|Consulting Fee-Vista Ophthalmics (Relationship has ended)|Consulting Fee-Zeiss|Consulting Fee-Azura|Consulting Fee-Aliph|Consulting Fee-Signal 12 - 06/11/2025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Jeremiah Tao,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Amr Azzam,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Austin Fox,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consultant-New World Medical|Paid consultant-Alcon (Any division) - 05/06/2025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Soroosh Behshad,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 Y. Lin,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 (Any division)|Consulting Fee-Microsurgical Tehcnology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K. 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 (Any division) - 04/14/2025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J Spiegel,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Advisor-Amgen, Inc. (Relationship has ended)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Mitul Mehta,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Fee-AbbVie (Any division)|Grant or research support-Syneos Health|Grant or research support-Genentech (Any division)|Grant or research support-RegenxBio (Relationship has ended)|Consulting Fee-Adverum (Relationship has ended)|Consulting Fee-Sandoz|Consulting Fee-Astellas (Any division)|Consulting Fee-ANI|Consulting Fee-Apellis|Membership on Advisory Committees or Review Panels, Board Membership, etc.-Eyedaptic |Grant or research support-jCyte|Consulting Fee-Zeiss - 07/02/2025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Kapil Mishra,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etc.-AbbVie (Any division) (Relationship has ended)|Consulting Fee-Zeiss|Consulting Fee-Bausch &amp; Lomb (Any division) (Relationship has ended) - 06/30/2025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Vivek Patel,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etc.-Horizon Pharmaceuticals (Relationship has ended)|Advisor-Novo Nordisk (Any division)|Membership on Advisory Committees or Review Panels, Board Membership, etc.-Argenx (Relationship has ended)|Membership on Advisory Committees or Review Panels, Board Membership, etc.-Catalyst - 06/16/2025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Marjan Farid,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Fee-AbbVie (Any division)|Consulting Fee-Johnson &amp; Johnson|Consulting Fee-Bausch &amp; Lomb (Any division)|Consulting Fee-Alcon (Any division)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W. Crow,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Seanna Grob,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Kedhar,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Bureau-ANI Pharmaceuticals|Membership on Advisory Committees or Review Panels, Board Membership, etc.-ANI Pharmaceuticals|Independent Contractor (included contracted research)-Priovant Therapeutics|Independent Contractor (included contracted research)-Visus Therapeutics (Relationship has ended)|Consulting Fee-Glaukos|Honoraria-ALCON (Relationship has ended)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Browne,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support-Alcon (Any division)|Grant or research support-Carl Zeiss Meditec|Honoraria-Slinghshot insights (Relationship has ended) - 06/11/2025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Charlotte Gore,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Olivia L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Fee-Cloudbreak Therapeutics|Consulting Fee-Harrow|Speakers Bureau-Dompe|Other: Lecture Fees-CorneaGen|Other: Lecture Fees-Recordati Rare Diseases (Relationship has ended) - 05/01/2025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Prepas,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Sameh Mosaed,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Fee-Skye Biosciences (Relationship has ended)|Honoraria-Thea Pharmaceuticals|Grant or research support-Sight Sciences|Advisor-Alcon (Any division) - 04/30/2025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Walker, OD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Baruch Kuppermann,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 (Any division)|Grant or research support-Adverum|Grant or research support-Apellis|Grant or research support-Clearside|Grant or research support-EyePoint|Grant or research support-4DMT|Grant or research support-Genentech (Any division)|Grant or research support-Ionis Pharmaceuticals|Grant or research support-jCyte|Grant or research support-Ray Therapeutics|Grant or research support-Regeneron Pharmaceuticals, Inc.|Grant or research support-RegenXBio|Paid consultant-AbbVie (Any division)|Paid consultant-Adverum|Paid consultant-Alkeus|Paid consultant-Allegro Ophthalmics|Paid consultant-Amgen|Paid consultant-Apellis|Paid consultant-Astellas|Paid consultant-Aviceda Therapeutics|Paid consultant-Boehringer Ingelheim Pharmaceuticals, Inc.|Paid consultant-Clearside|Paid consultant-Coherus|Paid consultant-EyeBio|Paid consultant-Eyedaptic|Paid consultant-EyePoint|Paid consultant-4DMT|Paid consultant-Genentech (Any division)|Paid consultant-Glaukos|Paid consultant-InflammX|Paid consultant-jCyte|Paid consultant-Mobius|Paid consultant-Molecular Partners|Paid consultant-Neurotech|Paid consultant-Novartis Corporation Pharmaceuticals|Paid consultant-Ocular Therapeutix|Paid consultant-Oculis|Paid consultant-OphtiMedRx|Paid consultant-Opthea|Paid consultant-Outlook Therapeutics|Paid consultant-Priviterra|Paid consultant-Regeneron Pharmaceuticals, Inc.|Paid consultant-ReVana Therapeutics|Paid consultant-Ripple Therapeutics|Paid consultant-Roche (Any division)|Paid consultant-Santen|Paid consultant-Stealth Therapeutics|Paid consultant-Theravance Biopharma|Paid consultant-Visgenx - 06/12/2025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Alpa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Winston Chamberlain,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Harrison,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Bureau-Amgen, Inc.|Independent Contractor (included contracted research)-Viridian|Advisor-Viridian (Relationship has ended)|Advisor-Amgen, Inc. (Relationship has ended)|Advisor-Accellrx (Relationship has ended) - 06/25/2025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Amir Marvasti,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consultant-Glaukos|Paid consultant-BVI - 07/07/2025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Azzam,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Kate Xie,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Fee-Johnson &amp; Johnson (Relationship has ended) - 06/13/2025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K Gokoffski,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Advisor-Amgen, Inc. (Relationship has ended) - 06/14/2025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Keith Rundle, MD, Fellow American Academy of Ophthalmology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Darren Knight,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Kim,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Ngai,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Mohammad Riazi,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Melody Yang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