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Right Care Heart Disease, Stroke and Diabetes Prevention and Management Continuing Medical Education (On-Demand &amp; Complementary)</w:instrText>
      </w:r>
      <w:r w:rsidRPr="00467105">
        <w:rPr>
          <w:b/>
          <w:bCs/>
          <w:sz w:val="20"/>
          <w:szCs w:val="20"/>
        </w:rPr>
        <w:instrText>"</w:instrText>
      </w:r>
      <w:r w:rsidRPr="00467105">
        <w:rPr>
          <w:b/>
          <w:bCs/>
          <w:sz w:val="20"/>
          <w:szCs w:val="20"/>
        </w:rPr>
        <w:instrText xml:space="preserve"> &lt;&gt; "" "</w:instrText>
      </w:r>
      <w:r w:rsidRPr="00467105">
        <w:rPr>
          <w:b/>
          <w:bCs/>
          <w:sz w:val="28"/>
          <w:szCs w:val="28"/>
        </w:rPr>
        <w:instrText>Right Care Heart Disease, Stroke and Diabetes Prevention and Management Continuing Medical Education (On-Demand &amp; Complementary)</w:instrText>
      </w:r>
    </w:p>
    <w:p w:rsidR="001420EC" w:rsidP="004F716E">
      <w:pPr>
        <w:spacing w:after="0" w:line="240" w:lineRule="auto"/>
        <w:contextualSpacing/>
        <w:jc w:val="center"/>
        <w:rPr>
          <w:b/>
          <w:bCs/>
          <w:noProof/>
          <w:sz w:val="20"/>
          <w:szCs w:val="20"/>
        </w:rPr>
      </w:pPr>
      <w:r>
        <w:rPr>
          <w:b/>
          <w:bCs/>
          <w:sz w:val="24"/>
          <w:szCs w:val="24"/>
        </w:rPr>
        <w:instrText>Hypertension Part 1: Practical Tips &amp; Tactics. Right Care Heart Attack &amp; Stroke Prevention (2.10.25).</w:instrText>
      </w:r>
      <w:r w:rsidRPr="00467105">
        <w:rPr>
          <w:b/>
          <w:bCs/>
          <w:sz w:val="20"/>
          <w:szCs w:val="20"/>
        </w:rPr>
        <w:instrText>" "</w:instrText>
      </w:r>
      <w:r w:rsidRPr="00467105">
        <w:rPr>
          <w:b/>
          <w:bCs/>
          <w:sz w:val="28"/>
          <w:szCs w:val="28"/>
        </w:rPr>
        <w:fldChar w:fldCharType="begin"/>
      </w:r>
      <w:r w:rsidRPr="00467105">
        <w:rPr>
          <w:b/>
          <w:bCs/>
          <w:sz w:val="28"/>
          <w:szCs w:val="28"/>
        </w:rPr>
        <w:instrText xml:space="preserve"> MERGEFIELD EventName </w:instrText>
      </w:r>
      <w:r w:rsidRPr="00467105">
        <w:rPr>
          <w:b/>
          <w:bCs/>
          <w:sz w:val="28"/>
          <w:szCs w:val="28"/>
        </w:rPr>
        <w:fldChar w:fldCharType="separate"/>
      </w:r>
      <w:r w:rsidRPr="00467105">
        <w:rPr>
          <w:b/>
          <w:bCs/>
          <w:sz w:val="28"/>
          <w:szCs w:val="28"/>
        </w:rPr>
        <w:fldChar w:fldCharType="end"/>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sidR="00467105">
        <w:rPr>
          <w:b/>
          <w:bCs/>
          <w:sz w:val="28"/>
          <w:szCs w:val="28"/>
        </w:rPr>
        <w:t>Right Care Heart Disease, Stroke and Diabetes Prevention and Management Continuing Medical Education (On-Demand &amp; Complementary)</w:t>
      </w:r>
    </w:p>
    <w:p w:rsidR="004F716E" w:rsidRPr="00467105" w:rsidP="004F716E">
      <w:pPr>
        <w:spacing w:after="0" w:line="240" w:lineRule="auto"/>
        <w:contextualSpacing/>
        <w:jc w:val="center"/>
        <w:rPr>
          <w:b/>
          <w:bCs/>
          <w:sz w:val="20"/>
          <w:szCs w:val="20"/>
        </w:rPr>
      </w:pPr>
      <w:r>
        <w:rPr>
          <w:b/>
          <w:bCs/>
          <w:sz w:val="24"/>
          <w:szCs w:val="24"/>
        </w:rPr>
        <w:t>Hypertension Part 1: Practical Tips &amp; Tactics. Right Care Heart Attack &amp; Stroke Prevention (2.10.25).</w:t>
      </w:r>
      <w:r w:rsidRPr="00467105">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February 26, 2025</w:t>
      </w:r>
      <w:r>
        <w:rPr>
          <w:sz w:val="24"/>
          <w:szCs w:val="24"/>
        </w:rPr>
        <w:fldChar w:fldCharType="begin"/>
      </w:r>
      <w:r>
        <w:rPr>
          <w:sz w:val="24"/>
          <w:szCs w:val="24"/>
        </w:rPr>
        <w:instrText xml:space="preserve"> IF </w:instrText>
      </w:r>
      <w:r>
        <w:rPr>
          <w:sz w:val="24"/>
          <w:szCs w:val="24"/>
        </w:rPr>
        <w:instrText>"</w:instrText>
      </w:r>
      <w:r>
        <w:rPr>
          <w:sz w:val="24"/>
          <w:szCs w:val="24"/>
        </w:rPr>
        <w:instrText>2 26 2025</w:instrText>
      </w:r>
      <w:r>
        <w:rPr>
          <w:sz w:val="24"/>
          <w:szCs w:val="24"/>
        </w:rPr>
        <w:instrText>"</w:instrText>
      </w:r>
      <w:r>
        <w:rPr>
          <w:sz w:val="24"/>
          <w:szCs w:val="24"/>
        </w:rPr>
        <w:instrText xml:space="preserve"> &lt;&gt; </w:instrText>
      </w:r>
      <w:r>
        <w:rPr>
          <w:sz w:val="24"/>
          <w:szCs w:val="24"/>
        </w:rPr>
        <w:instrText>"</w:instrText>
      </w:r>
      <w:r>
        <w:rPr>
          <w:sz w:val="24"/>
          <w:szCs w:val="24"/>
        </w:rPr>
        <w:instrText>12 31 2027</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2027</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2027</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Fonts w:ascii="Arial" w:eastAsia="Arial" w:hAnsi="Arial" w:cs="Arial"/>
          <w:color w:val="000000"/>
          <w:rtl w:val="0"/>
        </w:rPr>
        <w:instrText>This lecture provides an overview of suggested tools, tactics and topics to be used with clinicians and patients to improve blood pressure control rates across a health-system population of patients with a diagnosis of hypertension.</w:instrText>
      </w:r>
      <w:r>
        <w:rPr>
          <w:rFonts w:ascii="Arial" w:eastAsia="Arial" w:hAnsi="Arial" w:cs="Arial"/>
          <w:color w:val="222222"/>
          <w:shd w:val="clear" w:color="auto" w:fill="FFFFFF"/>
          <w:rtl w:val="0"/>
        </w:rPr>
        <w:instrText xml:space="preserve"> </w:instrText>
      </w:r>
      <w:r>
        <w:rPr>
          <w:rFonts w:ascii="Arial" w:eastAsia="Arial" w:hAnsi="Arial" w:cs="Arial"/>
          <w:color w:val="000000"/>
          <w:rtl w:val="0"/>
        </w:rPr>
        <w:instrText>The live lecture for this recording took place February 10, 2025.</w:instrText>
      </w:r>
    </w:p>
    <w:p>
      <w:pPr>
        <w:bidi w:val="0"/>
        <w:spacing w:after="280" w:afterAutospacing="1"/>
        <w:rPr>
          <w:rtl w:val="0"/>
        </w:rPr>
      </w:pPr>
      <w:r>
        <w:rPr>
          <w:rFonts w:ascii="Arial" w:eastAsia="Arial" w:hAnsi="Arial" w:cs="Arial"/>
          <w:color w:val="222222"/>
          <w:shd w:val="clear" w:color="auto" w:fill="FFFFFF"/>
          <w:rtl w:val="0"/>
        </w:rPr>
        <w:instrText>Presented by Scott Flinn, MD &amp; Cindy Giambrone, PharmD.</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Fonts w:ascii="Arial" w:eastAsia="Arial" w:hAnsi="Arial" w:cs="Arial"/>
          <w:color w:val="000000"/>
          <w:rtl w:val="0"/>
        </w:rPr>
        <w:instrText>This lecture provides an overview of suggested tools, tactics and topics to be used with clinicians and patients to improve blood pressure control rates across a health-system population of patients with a diagnosis of hypertension.</w:instrText>
      </w:r>
      <w:r>
        <w:rPr>
          <w:rFonts w:ascii="Arial" w:eastAsia="Arial" w:hAnsi="Arial" w:cs="Arial"/>
          <w:color w:val="222222"/>
          <w:shd w:val="clear" w:color="auto" w:fill="FFFFFF"/>
          <w:rtl w:val="0"/>
        </w:rPr>
        <w:instrText xml:space="preserve"> </w:instrText>
      </w:r>
      <w:r>
        <w:rPr>
          <w:rFonts w:ascii="Arial" w:eastAsia="Arial" w:hAnsi="Arial" w:cs="Arial"/>
          <w:color w:val="000000"/>
          <w:rtl w:val="0"/>
        </w:rPr>
        <w:instrText>The live lecture for this recording took place February 10, 2025.</w:instrText>
      </w:r>
    </w:p>
    <w:p>
      <w:pPr>
        <w:bidi w:val="0"/>
        <w:spacing w:after="280" w:afterAutospacing="1"/>
        <w:rPr>
          <w:rtl w:val="0"/>
        </w:rPr>
      </w:pPr>
      <w:r>
        <w:rPr>
          <w:rFonts w:ascii="Arial" w:eastAsia="Arial" w:hAnsi="Arial" w:cs="Arial"/>
          <w:color w:val="222222"/>
          <w:shd w:val="clear" w:color="auto" w:fill="FFFFFF"/>
          <w:rtl w:val="0"/>
        </w:rPr>
        <w:instrText>Presented by Scott Flinn, MD &amp; Cindy Giambrone, PharmD.</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Fonts w:ascii="Arial" w:eastAsia="Arial" w:hAnsi="Arial" w:cs="Arial"/>
          <w:color w:val="000000"/>
          <w:rtl w:val="0"/>
        </w:rPr>
        <w:t>This lecture provides an overview of suggested tools, tactics and topics to be used with clinicians and patients to improve blood pressure control rates across a health-system population of patients with a diagnosis of hypertension.</w:t>
      </w:r>
      <w:r>
        <w:rPr>
          <w:rFonts w:ascii="Arial" w:eastAsia="Arial" w:hAnsi="Arial" w:cs="Arial"/>
          <w:color w:val="222222"/>
          <w:shd w:val="clear" w:color="auto" w:fill="FFFFFF"/>
          <w:rtl w:val="0"/>
        </w:rPr>
        <w:t xml:space="preserve"> </w:t>
      </w:r>
      <w:r>
        <w:rPr>
          <w:rFonts w:ascii="Arial" w:eastAsia="Arial" w:hAnsi="Arial" w:cs="Arial"/>
          <w:color w:val="000000"/>
          <w:rtl w:val="0"/>
        </w:rPr>
        <w:t>The live lecture for this recording took place February 10, 2025.</w:t>
      </w:r>
    </w:p>
    <w:p>
      <w:pPr>
        <w:bidi w:val="0"/>
        <w:spacing w:after="280" w:afterAutospacing="1"/>
        <w:rPr>
          <w:rtl w:val="0"/>
        </w:rPr>
      </w:pPr>
      <w:r>
        <w:rPr>
          <w:rFonts w:ascii="Arial" w:eastAsia="Arial" w:hAnsi="Arial" w:cs="Arial"/>
          <w:color w:val="222222"/>
          <w:shd w:val="clear" w:color="auto" w:fill="FFFFFF"/>
          <w:rtl w:val="0"/>
        </w:rPr>
        <w:t>Presented by Scott Flinn, MD &amp; Cindy Giambrone, PharmD.</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Emergency Medicine, Family Medicine, Medicine, Neurology, Obstetrics &amp; Gynecology, Radiological Sciences, Cardiology, General Internal Medicine &amp; Primary Care, Pulmonary Diseases &amp; Critical Care Medicine, Rheumatology</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Non-Physician, Medical Assistant, Medical Student, Nurse, Nurse Practitioner, Pharmacist, Pharmacy Technician, Physician Assistant, Registered Dietitian, Resident Physician, Social Worker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Emergency Medicine, Family Medicine, Medicine, Neurology, Obstetrics &amp; Gynecology, Radiological Sciences, Cardiology, General Internal Medicine &amp; Primary Care, Pulmonary Diseases &amp; Critical Care Medicine, Rheumatology</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Emergency Medicine, Family Medicine, Medicine, Neurology, Obstetrics &amp; Gynecology, Radiological Sciences, Cardiology, General Internal Medicine &amp; Primary Care, Pulmonary Diseases &amp; Critical Care Medicine, Rheumatology</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Emergency Medicine, Family Medicine, Medicine, Neurology, Obstetrics &amp; Gynecology, Radiological Sciences, Cardiology, General Internal Medicine &amp; Primary Care, Pulmonary Diseases &amp; Critical Care Medicine, Rheumatology</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Non-Physician, Medical Assistant, Medical Student, Nurse, Nurse Practitioner, Pharmacist, Pharmacy Technician, Physician Assistant, Registered Dietitian, Resident Physician, Social Worker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Non-Physician, Medical Assistant, Medical Student, Nurse, Nurse Practitioner, Pharmacist, Pharmacy Technician, Physician Assistant, Registered Dietitian, Resident Physician, Social Worker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Non-Physician, Medical Assistant, Medical Student, Nurse, Nurse Practitioner, Pharmacist, Pharmacy Technician, Physician Assistant, Registered Dietitian, Resident Physician, Social Worker</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Emergency Medicine, Family Medicine, Medicine, Neurology, Obstetrics &amp; Gynecology, Radiological Sciences, Cardiology, General Internal Medicine &amp; Primary Care, Pulmonary Diseases &amp; Critical Care Medicine, Rheumatology</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Non-Physician, Medical Assistant, Medical Student, Nurse, Nurse Practitioner, Pharmacist, Pharmacy Technician, Physician Assistant, Registered Dietitian, Resident Physician, Social Worker</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Quantify the US Patient Population with Hypertension and current diagnosis and control rates</w:instrText>
      </w:r>
    </w:p>
    <w:p w:rsidR="00467105" w:rsidP="0042796F">
      <w:pPr>
        <w:spacing w:after="0" w:line="240" w:lineRule="auto"/>
        <w:contextualSpacing/>
        <w:rPr>
          <w:sz w:val="20"/>
          <w:szCs w:val="20"/>
        </w:rPr>
      </w:pPr>
      <w:r>
        <w:rPr>
          <w:sz w:val="20"/>
          <w:szCs w:val="20"/>
        </w:rPr>
        <w:instrText>2 Describe Best Clinical Practices to improve hypertension control rates across a health-system population</w:instrText>
      </w:r>
    </w:p>
    <w:p w:rsidR="00467105" w:rsidP="0042796F">
      <w:pPr>
        <w:spacing w:after="0" w:line="240" w:lineRule="auto"/>
        <w:contextualSpacing/>
        <w:rPr>
          <w:sz w:val="20"/>
          <w:szCs w:val="20"/>
        </w:rPr>
      </w:pPr>
      <w:r>
        <w:rPr>
          <w:sz w:val="20"/>
          <w:szCs w:val="20"/>
        </w:rPr>
        <w:instrText>3 Identify appropriate interventions by pharmacy, medical and other clinical staff to improve hypertension control rates across a health-system population</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Quantify the US Patient Population with Hypertension and current diagnosis and control rates</w:instrText>
      </w:r>
    </w:p>
    <w:p w:rsidP="0042796F">
      <w:pPr>
        <w:spacing w:after="0" w:line="240" w:lineRule="auto"/>
        <w:contextualSpacing/>
        <w:rPr>
          <w:sz w:val="24"/>
          <w:szCs w:val="24"/>
        </w:rPr>
      </w:pPr>
      <w:r>
        <w:rPr>
          <w:sz w:val="24"/>
          <w:szCs w:val="24"/>
        </w:rPr>
        <w:instrText>2 Describe Best Clinical Practices to improve hypertension control rates across a health-system population</w:instrText>
      </w:r>
    </w:p>
    <w:p w:rsidP="0042796F">
      <w:pPr>
        <w:spacing w:after="0" w:line="240" w:lineRule="auto"/>
        <w:contextualSpacing/>
        <w:rPr>
          <w:sz w:val="24"/>
          <w:szCs w:val="24"/>
        </w:rPr>
      </w:pPr>
      <w:r>
        <w:rPr>
          <w:sz w:val="24"/>
          <w:szCs w:val="24"/>
        </w:rPr>
        <w:instrText>3 Identify appropriate interventions by pharmacy, medical and other clinical staff to improve hypertension control rates across a health-system population</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Quantify the US Patient Population with Hypertension and current diagnosis and control rates</w:t>
      </w:r>
    </w:p>
    <w:p w:rsidP="0042796F">
      <w:pPr>
        <w:spacing w:after="0" w:line="240" w:lineRule="auto"/>
        <w:contextualSpacing/>
        <w:rPr>
          <w:sz w:val="24"/>
          <w:szCs w:val="24"/>
        </w:rPr>
      </w:pPr>
      <w:r>
        <w:rPr>
          <w:sz w:val="24"/>
          <w:szCs w:val="24"/>
        </w:rPr>
        <w:t>2 Describe Best Clinical Practices to improve hypertension control rates across a health-system population</w:t>
      </w:r>
    </w:p>
    <w:p w:rsidR="00467105" w:rsidP="0042796F">
      <w:pPr>
        <w:spacing w:after="0" w:line="240" w:lineRule="auto"/>
        <w:contextualSpacing/>
        <w:rPr>
          <w:sz w:val="20"/>
          <w:szCs w:val="20"/>
        </w:rPr>
      </w:pPr>
      <w:r>
        <w:rPr>
          <w:sz w:val="24"/>
          <w:szCs w:val="24"/>
        </w:rPr>
        <w:t>3 Identify appropriate interventions by pharmacy, medical and other clinical staff to improve hypertension control rates across a health-system population</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UC Berkeley, Right Care Initiative</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UC Berkeley, Right Care Initiative</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UC Berkeley, Right Care Initiative</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0.50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Sarah Epstein,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Hattie Hanley,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Karen M Sky,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Nathan D. Wong, PhD,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support-Novartis Corporation Pharmaceuticals|Consulting Fee-Novartis Corporation Pharmaceuticals|Consulting Fee-Amgen, Inc.|Consulting Fee-Ionis Pharmaceuticals|Grant or research support-Novo Nordisk (Any division) (Relationship has ended)|Consulting Fee-Heart Lung|Grant or research support-Amgen, Inc.|Speakers Bureau-Novartis Corporation Pharmaceuticals - 01/06/2025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Jan Hirsch,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Cindy Giambrone, PharmD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Stocks or stock options, excluding diversified mutual funds-Sanofi S.A.|Stocks or stock options, excluding diversified mutual funds-Abbott (Any division) - 02/12/2025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William Bommer,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Scott Flinn,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- 05/15/2024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