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191: Phillips Body Dysmorphic Disorder</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191: Phillips Body Dysmorphic Disorder</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13, 2025</w:t>
      </w:r>
      <w:r>
        <w:rPr>
          <w:sz w:val="24"/>
          <w:szCs w:val="24"/>
        </w:rPr>
        <w:fldChar w:fldCharType="begin"/>
      </w:r>
      <w:r>
        <w:rPr>
          <w:sz w:val="24"/>
          <w:szCs w:val="24"/>
        </w:rPr>
        <w:instrText xml:space="preserve"> IF </w:instrText>
      </w:r>
      <w:r>
        <w:rPr>
          <w:sz w:val="24"/>
          <w:szCs w:val="24"/>
        </w:rPr>
        <w:instrText>"</w:instrText>
      </w:r>
      <w:r>
        <w:rPr>
          <w:sz w:val="24"/>
          <w:szCs w:val="24"/>
        </w:rPr>
        <w:instrText>6 13 2025</w:instrText>
      </w:r>
      <w:r>
        <w:rPr>
          <w:sz w:val="24"/>
          <w:szCs w:val="24"/>
        </w:rPr>
        <w:instrText>"</w:instrText>
      </w:r>
      <w:r>
        <w:rPr>
          <w:sz w:val="24"/>
          <w:szCs w:val="24"/>
        </w:rPr>
        <w:instrText xml:space="preserve"> &lt;&gt; </w:instrText>
      </w:r>
      <w:r>
        <w:rPr>
          <w:sz w:val="24"/>
          <w:szCs w:val="24"/>
        </w:rPr>
        <w:instrText>"</w:instrText>
      </w:r>
      <w:r>
        <w:rPr>
          <w:sz w:val="24"/>
          <w:szCs w:val="24"/>
        </w:rPr>
        <w:instrText>7 1 2026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July 1,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July 1,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PhillipsBody Dysmorphic Disorder.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PhillipsBody Dysmorphic Disorder.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PhillipsBody Dysmorphic Disorder.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Define body dysmorphic disorder (BDD) </w:instrText>
      </w:r>
    </w:p>
    <w:p w:rsidR="00467105" w:rsidP="0042796F">
      <w:pPr>
        <w:spacing w:after="0" w:line="240" w:lineRule="auto"/>
        <w:contextualSpacing/>
        <w:rPr>
          <w:sz w:val="20"/>
          <w:szCs w:val="20"/>
        </w:rPr>
      </w:pPr>
      <w:r>
        <w:rPr>
          <w:sz w:val="20"/>
          <w:szCs w:val="20"/>
        </w:rPr>
        <w:instrText xml:space="preserve">2 Describe risk factors for body dysmorphic disorder (BDD) </w:instrText>
      </w:r>
    </w:p>
    <w:p w:rsidR="00467105" w:rsidP="0042796F">
      <w:pPr>
        <w:spacing w:after="0" w:line="240" w:lineRule="auto"/>
        <w:contextualSpacing/>
        <w:rPr>
          <w:sz w:val="20"/>
          <w:szCs w:val="20"/>
        </w:rPr>
      </w:pPr>
      <w:r>
        <w:rPr>
          <w:sz w:val="20"/>
          <w:szCs w:val="20"/>
        </w:rPr>
        <w:instrText xml:space="preserve">3 Describe psychotherapeutic and psychotropic treatment approaches for body dysmorphic disorder (BDD)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Define body dysmorphic disorder (BDD) </w:instrText>
      </w:r>
    </w:p>
    <w:p w:rsidP="0042796F">
      <w:pPr>
        <w:spacing w:after="0" w:line="240" w:lineRule="auto"/>
        <w:contextualSpacing/>
        <w:rPr>
          <w:sz w:val="24"/>
          <w:szCs w:val="24"/>
        </w:rPr>
      </w:pPr>
      <w:r>
        <w:rPr>
          <w:sz w:val="24"/>
          <w:szCs w:val="24"/>
        </w:rPr>
        <w:instrText xml:space="preserve">2 Describe risk factors for body dysmorphic disorder (BDD) </w:instrText>
      </w:r>
    </w:p>
    <w:p w:rsidP="0042796F">
      <w:pPr>
        <w:spacing w:after="0" w:line="240" w:lineRule="auto"/>
        <w:contextualSpacing/>
        <w:rPr>
          <w:sz w:val="24"/>
          <w:szCs w:val="24"/>
        </w:rPr>
      </w:pPr>
      <w:r>
        <w:rPr>
          <w:sz w:val="24"/>
          <w:szCs w:val="24"/>
        </w:rPr>
        <w:instrText xml:space="preserve">3 Describe psychotherapeutic and psychotropic treatment approaches for body dysmorphic disorder (BDD)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Define body dysmorphic disorder (BDD) </w:t>
      </w:r>
    </w:p>
    <w:p w:rsidP="0042796F">
      <w:pPr>
        <w:spacing w:after="0" w:line="240" w:lineRule="auto"/>
        <w:contextualSpacing/>
        <w:rPr>
          <w:sz w:val="24"/>
          <w:szCs w:val="24"/>
        </w:rPr>
      </w:pPr>
      <w:r>
        <w:rPr>
          <w:sz w:val="24"/>
          <w:szCs w:val="24"/>
        </w:rPr>
        <w:t xml:space="preserve">2 Describe risk factors for body dysmorphic disorder (BDD) </w:t>
      </w:r>
    </w:p>
    <w:p w:rsidR="00467105" w:rsidP="0042796F">
      <w:pPr>
        <w:spacing w:after="0" w:line="240" w:lineRule="auto"/>
        <w:contextualSpacing/>
        <w:rPr>
          <w:sz w:val="20"/>
          <w:szCs w:val="20"/>
        </w:rPr>
      </w:pPr>
      <w:r>
        <w:rPr>
          <w:sz w:val="24"/>
          <w:szCs w:val="24"/>
        </w:rPr>
        <w:t xml:space="preserve">3 Describe psychotherapeutic and psychotropic treatment approaches for body dysmorphic disorder (BDD)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Katharine A Phillips,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Honoraria-Fabday, LLC|Honoraria-CeraVe Roxane Consultants S Chabot DBA RBC Consultants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