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UC Irvine Orthopaedic Surgery Annual Symposium- A Review for Surgeons and Non-Surgeons</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UC Irvine Orthopaedic Surgery Annual Symposium- A Review for Surgeons and Non-Surgeons</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5, 2026</w:t>
      </w:r>
      <w:r>
        <w:rPr>
          <w:sz w:val="24"/>
          <w:szCs w:val="24"/>
        </w:rPr>
        <w:fldChar w:fldCharType="begin"/>
      </w:r>
      <w:r>
        <w:rPr>
          <w:sz w:val="24"/>
          <w:szCs w:val="24"/>
        </w:rPr>
        <w:instrText xml:space="preserve"> IF </w:instrText>
      </w:r>
      <w:r>
        <w:rPr>
          <w:sz w:val="24"/>
          <w:szCs w:val="24"/>
        </w:rPr>
        <w:instrText>"</w:instrText>
      </w:r>
      <w:r>
        <w:rPr>
          <w:sz w:val="24"/>
          <w:szCs w:val="24"/>
        </w:rPr>
        <w:instrText>6 5 2026</w:instrText>
      </w:r>
      <w:r>
        <w:rPr>
          <w:sz w:val="24"/>
          <w:szCs w:val="24"/>
        </w:rPr>
        <w:instrText>"</w:instrText>
      </w:r>
      <w:r>
        <w:rPr>
          <w:sz w:val="24"/>
          <w:szCs w:val="24"/>
        </w:rPr>
        <w:instrText xml:space="preserve"> &lt;&gt; </w:instrText>
      </w:r>
      <w:r>
        <w:rPr>
          <w:sz w:val="24"/>
          <w:szCs w:val="24"/>
        </w:rPr>
        <w:instrText>"</w:instrText>
      </w:r>
      <w:r>
        <w:rPr>
          <w:sz w:val="24"/>
          <w:szCs w:val="24"/>
        </w:rPr>
        <w:instrText>6 5 2026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r>
        <w:rPr>
          <w:rtl w:val="0"/>
        </w:rPr>
        <w:instrText>The focus of this symposium is the management of orthopedic care of patients including updates of the current state-of-the-art. These conditions are encountered by physicians, nurses, physical therapists and other medical professionals specializing Orthopedic Surgery, Internal Medicine, Family Medicine, PM&amp;R, Geriatrics, Pain Management, and Neurology.</w:instrText>
      </w: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rsidP="004F716E">
      <w:pPr>
        <w:spacing w:after="0" w:line="240" w:lineRule="auto"/>
        <w:contextualSpacing/>
        <w:rPr>
          <w:noProof/>
          <w:sz w:val="20"/>
          <w:szCs w:val="20"/>
        </w:rPr>
      </w:pPr>
      <w:r>
        <w:rPr>
          <w:rtl w:val="0"/>
        </w:rPr>
        <w:instrText>The focus of this symposium is the management of orthopedic care of patients including updates of the current state-of-the-art. These conditions are encountered by physicians, nurses, physical therapists and other medical professionals specializing Orthopedic Surgery, Internal Medicine, Family Medicine, PM&amp;R, Geriatrics, Pain Management, and Neurology.</w:instrText>
      </w: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rsidP="004F716E">
      <w:pPr>
        <w:spacing w:after="0" w:line="240" w:lineRule="auto"/>
        <w:contextualSpacing/>
        <w:rPr>
          <w:sz w:val="20"/>
          <w:szCs w:val="20"/>
        </w:rPr>
      </w:pPr>
      <w:r>
        <w:rPr>
          <w:rtl w:val="0"/>
        </w:rPr>
        <w:t>The focus of this symposium is the management of orthopedic care of patients including updates of the current state-of-the-art. These conditions are encountered by physicians, nurses, physical therapists and other medical professionals specializing Orthopedic Surgery, Internal Medicine, Family Medicine, PM&amp;R, Geriatrics, Pain Management, and Neurology.</w:t>
      </w: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Orthopaedic Surgery</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Allied Health Professional, Medical Assistant, Nurse, Nurse Practitioner, Physical Therapist, Physician Assistant, Resident Physician, Occupational Therapist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Orthopaedic Surgery</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Orthopaedic Surgery</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Orthopaedic Surgery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Allied Health Professional, Medical Assistant, Nurse, Nurse Practitioner, Physical Therapist, Physician Assistant, Resident Physician, Occupational Therapist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Medical Assistant, Nurse, Nurse Practitioner, Physical Therapist, Physician Assistant, Resident Physician, Occupational Therapist</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Medical Assistant, Nurse, Nurse Practitioner, Physical Therapist, Physician Assistant, Resident Physician, Occupational Therapist</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Orthopaedic Surgery</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Allied Health Professional, Medical Assistant, Nurse, Nurse Practitioner, Physical Therapist, Physician Assistant, Resident Physician, Occupational Therapist</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Recognize musculoskeletal injuries that would benefit from surgical intervention</w:instrText>
      </w:r>
    </w:p>
    <w:p w:rsidR="00467105" w:rsidP="0042796F">
      <w:pPr>
        <w:spacing w:after="0" w:line="240" w:lineRule="auto"/>
        <w:contextualSpacing/>
        <w:rPr>
          <w:sz w:val="20"/>
          <w:szCs w:val="20"/>
        </w:rPr>
      </w:pPr>
      <w:r>
        <w:rPr>
          <w:sz w:val="20"/>
          <w:szCs w:val="20"/>
        </w:rPr>
        <w:instrText>2 Evaluate patients with musculoskeletal injuries appropriately</w:instrText>
      </w:r>
    </w:p>
    <w:p w:rsidR="00467105" w:rsidP="0042796F">
      <w:pPr>
        <w:spacing w:after="0" w:line="240" w:lineRule="auto"/>
        <w:contextualSpacing/>
        <w:rPr>
          <w:sz w:val="20"/>
          <w:szCs w:val="20"/>
        </w:rPr>
      </w:pPr>
      <w:r>
        <w:rPr>
          <w:sz w:val="20"/>
          <w:szCs w:val="20"/>
        </w:rPr>
        <w:instrText>3 Identify patients that would be from early subspecialist referral</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Recognize musculoskeletal injuries that would benefit from surgical intervention</w:instrText>
      </w:r>
    </w:p>
    <w:p w:rsidP="0042796F">
      <w:pPr>
        <w:spacing w:after="0" w:line="240" w:lineRule="auto"/>
        <w:contextualSpacing/>
        <w:rPr>
          <w:sz w:val="24"/>
          <w:szCs w:val="24"/>
        </w:rPr>
      </w:pPr>
      <w:r>
        <w:rPr>
          <w:sz w:val="24"/>
          <w:szCs w:val="24"/>
        </w:rPr>
        <w:instrText>2 Evaluate patients with musculoskeletal injuries appropriately</w:instrText>
      </w:r>
    </w:p>
    <w:p w:rsidP="0042796F">
      <w:pPr>
        <w:spacing w:after="0" w:line="240" w:lineRule="auto"/>
        <w:contextualSpacing/>
        <w:rPr>
          <w:sz w:val="24"/>
          <w:szCs w:val="24"/>
        </w:rPr>
      </w:pPr>
      <w:r>
        <w:rPr>
          <w:sz w:val="24"/>
          <w:szCs w:val="24"/>
        </w:rPr>
        <w:instrText>3 Identify patients that would be from early subspecialist referral</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Recognize musculoskeletal injuries that would benefit from surgical intervention</w:t>
      </w:r>
    </w:p>
    <w:p w:rsidP="0042796F">
      <w:pPr>
        <w:spacing w:after="0" w:line="240" w:lineRule="auto"/>
        <w:contextualSpacing/>
        <w:rPr>
          <w:sz w:val="24"/>
          <w:szCs w:val="24"/>
        </w:rPr>
      </w:pPr>
      <w:r>
        <w:rPr>
          <w:sz w:val="24"/>
          <w:szCs w:val="24"/>
        </w:rPr>
        <w:t>2 Evaluate patients with musculoskeletal injuries appropriately</w:t>
      </w:r>
    </w:p>
    <w:p w:rsidR="00467105" w:rsidP="0042796F">
      <w:pPr>
        <w:spacing w:after="0" w:line="240" w:lineRule="auto"/>
        <w:contextualSpacing/>
        <w:rPr>
          <w:sz w:val="20"/>
          <w:szCs w:val="20"/>
        </w:rPr>
      </w:pPr>
      <w:r>
        <w:rPr>
          <w:sz w:val="24"/>
          <w:szCs w:val="24"/>
        </w:rPr>
        <w:t>3 Identify patients that would be from early subspecialist referral</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6.25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Albersheim,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Mohit Bhandari,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Nitin Bhatia,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Royalties or Patent Beneficiary-Seaspine|Royalties or Patent Beneficiary-Spineart|Royalties or Patent Beneficiary-Aurora Spine|Consulting Fee-Lifespine|Paid consultant-difusion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Jonah Davies,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Fee-Arthrex|Consulting Fee-DePuy (Any division) - 02/10/2026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DiGiovanni,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consultant-DJO Incorporated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Justin Haghverdian,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Sohaib Hashmi,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consultant-Atec|Paid consultant-SI Bone |Paid consultant-LifeSpine|Paid consultant-SeaSpine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P Hsiue,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Hsu,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Fee-Arthrex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Tyler Johnston,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consultant-Stryker (Any division)|Paid consultant-DJO Incorporated - 02/12/2026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Jesse Kaplan,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Philip Lim,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Fee-Globus Medical, Inc.|Honoraria-Arthrex - 02/02/2026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Geoffrey Marecek,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funds-restor3d|Consulting Fee-DePuy (Any division)|Consulting Fee-Globus Medical, Inc.|Royalties or Patent Beneficiary-Globus Medical, Inc.|Consulting Fee-Zimmer (Any division)|Consulting Fee-Siemens|Consulting Fee-Bonesupport AB|Consulting Fee-Orthofix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Mills,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Naudereh Noori,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Gregory H Rafijah,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Fee-Medartis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John A Scolaro, MD, FAAOS, FAOA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consultant-NuVasive, Inc. (Relationship has ended)|Paid consultant-Smith &amp; Nephew (Any division) (Relationship has ended)|Paid consultant-Zimmer (Any division) (Relationship has ended)|Stocks or stock options, excluding diversified mutual funds-Restor3d|Paid consultant-Stryker (Any division)|Paid consultant-Illuminoss|Paid consultant-Orthofix - 02/02/2026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Myron Gerard Slobogean,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Fee-Smith &amp; Nephew (Any division)|Consulting Fee-Zimmer (Any division) - 02/23/2026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Russell Stitzlein,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Fee-DePuy (Any division) (Relationship has ended)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Sullivan,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Dean Wang,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support-Immunis|Paid consultant-Newclip|Paid consultant-Stryker (Any division)|Paid consultant-Cervos|Stocks or stock options, excluding diversified mutual funds-Overture Orthopaedics|Speakers Bureau-Arthrex|Membership on Advisory Committees or Review Panels, Board Membership, etc.-AOSSM|Membership on Advisory Committees or Review Panels, Board Membership, etc.-AAOS|Membership on Advisory Committees or Review Panels, Board Membership, etc.-ICRS|Membership on Advisory Committees or Review Panels, Board Membership, etc.-WOA|Grant or research support-Joint Restoration Foundation|Paid consultant-Moximed|Speakers Bureau-Vericel - 01/29/2026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Eric D Wang,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Hao-Hua Wu,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Fee-BD|Consulting Fee-Globus Medical, Inc.|Membership on Advisory Committees or Review Panels, Board Membership, etc.-Maia|Consulting Fee-Orthofix|Consulting Fee-NeuralTrak - 01/28/2026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Steven Yang, MD,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consultant-DePuy (Any division) - 02/12/2026</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