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14th Annual UC Irvine Neuromuscular Colloquium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14th Annual UC Irvine Neuromuscular Colloquium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29, 2026</w:t>
      </w:r>
      <w:r>
        <w:rPr>
          <w:sz w:val="24"/>
          <w:szCs w:val="24"/>
        </w:rPr>
        <w:fldChar w:fldCharType="begin"/>
      </w:r>
      <w:r>
        <w:rPr>
          <w:sz w:val="24"/>
          <w:szCs w:val="24"/>
        </w:rPr>
        <w:instrText xml:space="preserve"> IF </w:instrText>
      </w:r>
      <w:r>
        <w:rPr>
          <w:sz w:val="24"/>
          <w:szCs w:val="24"/>
        </w:rPr>
        <w:instrText>"</w:instrText>
      </w:r>
      <w:r>
        <w:rPr>
          <w:sz w:val="24"/>
          <w:szCs w:val="24"/>
        </w:rPr>
        <w:instrText>5 29 2026</w:instrText>
      </w:r>
      <w:r>
        <w:rPr>
          <w:sz w:val="24"/>
          <w:szCs w:val="24"/>
        </w:rPr>
        <w:instrText>"</w:instrText>
      </w:r>
      <w:r>
        <w:rPr>
          <w:sz w:val="24"/>
          <w:szCs w:val="24"/>
        </w:rPr>
        <w:instrText xml:space="preserve"> &lt;&gt; </w:instrText>
      </w:r>
      <w:r>
        <w:rPr>
          <w:sz w:val="24"/>
          <w:szCs w:val="24"/>
        </w:rPr>
        <w:instrText>"</w:instrText>
      </w:r>
      <w:r>
        <w:rPr>
          <w:sz w:val="24"/>
          <w:szCs w:val="24"/>
        </w:rPr>
        <w:instrText>5 29 2026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 xml:space="preserve">This colloquium is designed to encourage an atmosphere of collaboration and interaction between the various neuromuscular specialists in the US, Canada and internationally. It is a forum to discuss the latest topics and advances in neuromuscular medicine and review interesting and challenging cases, with several live patient presentations. Such activities are aimed to improve patient care by promoting dissemination of new knowledge from experts in the field, enhancing research collaboration and developing new research projects between the various groups and institutions. </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 xml:space="preserve">This colloquium is designed to encourage an atmosphere of collaboration and interaction between the various neuromuscular specialists in the US, Canada and internationally. It is a forum to discuss the latest topics and advances in neuromuscular medicine and review interesting and challenging cases, with several live patient presentations. Such activities are aimed to improve patient care by promoting dissemination of new knowledge from experts in the field, enhancing research collaboration and developing new research projects between the various groups and institutions. </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 xml:space="preserve">This colloquium is designed to encourage an atmosphere of collaboration and interaction between the various neuromuscular specialists in the US, Canada and internationally. It is a forum to discuss the latest topics and advances in neuromuscular medicine and review interesting and challenging cases, with several live patient presentations. Such activities are aimed to improve patient care by promoting dissemination of new knowledge from experts in the field, enhancing research collaboration and developing new research projects between the various groups and institutions. </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Neurology, Pathology &amp; Laboratory Medicine, Pediatrics, Genetic And Genomic Medicine, Neurology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Audiologist, Medical Assistant, Medical Student, Nurse, Nurse Practitioner, Pharmacist, Physical Therapist, Physician Assistant, Registered Dietitian, Resident Physician, Clinical Social Worker, Speech-Language Pathologist, Psychologist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Neurology, Pathology &amp; Laboratory Medicine, Pediatrics, Genetic And Genomic Medicine, Neurology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Audiologist, Medical Assistant, Medical Student, Nurse, Nurse Practitioner, Pharmacist, Physical Therapist, Physician Assistant, Registered Dietitian, Resident Physician, Clinical Social Worker, Speech-Language Pathologist, Psychologist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Audiologist, Medical Assistant, Medical Student, Nurse, Nurse Practitioner, Pharmacist, Physical Therapist, Physician Assistant, Registered Dietitian, Resident Physician, Clinical Social Worker, Speech-Language Pathologist, Psychologist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Audiologist, Medical Assistant, Medical Student, Nurse, Nurse Practitioner, Pharmacist, Physical Therapist, Physician Assistant, Registered Dietitian, Resident Physician, Clinical Social Worker, Speech-Language Pathologist, Psychologist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Neurology, Pathology &amp; Laboratory Medicine, Pediatrics, Genetic And Genomic Medicine, Neurology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Audiologist, Medical Assistant, Medical Student, Nurse, Nurse Practitioner, Pharmacist, Physical Therapist, Physician Assistant, Registered Dietitian, Resident Physician, Clinical Social Worker, Speech-Language Pathologist, Psychologist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different clinical presentations and patterns of involvement in neuromuscular</w:instrText>
      </w:r>
    </w:p>
    <w:p w:rsidR="00467105" w:rsidP="0042796F">
      <w:pPr>
        <w:spacing w:after="0" w:line="240" w:lineRule="auto"/>
        <w:contextualSpacing/>
        <w:rPr>
          <w:sz w:val="20"/>
          <w:szCs w:val="20"/>
        </w:rPr>
      </w:pPr>
      <w:r>
        <w:rPr>
          <w:sz w:val="20"/>
          <w:szCs w:val="20"/>
        </w:rPr>
        <w:instrText>diseases.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Understand current standards and guidelines for management of neuromuscular</w:instrText>
      </w:r>
    </w:p>
    <w:p w:rsidR="00467105" w:rsidP="0042796F">
      <w:pPr>
        <w:spacing w:after="0" w:line="240" w:lineRule="auto"/>
        <w:contextualSpacing/>
        <w:rPr>
          <w:sz w:val="20"/>
          <w:szCs w:val="20"/>
        </w:rPr>
      </w:pPr>
      <w:r>
        <w:rPr>
          <w:sz w:val="20"/>
          <w:szCs w:val="20"/>
        </w:rPr>
        <w:instrText>disorders.</w:instrText>
      </w:r>
    </w:p>
    <w:p w:rsidR="00467105" w:rsidP="0042796F">
      <w:pPr>
        <w:spacing w:after="0" w:line="240" w:lineRule="auto"/>
        <w:contextualSpacing/>
        <w:rPr>
          <w:sz w:val="20"/>
          <w:szCs w:val="20"/>
        </w:rPr>
      </w:pPr>
      <w:r>
        <w:rPr>
          <w:sz w:val="20"/>
          <w:szCs w:val="20"/>
        </w:rPr>
        <w:instrText>3 Understand genetic basis of inherited myopathies and advancements in gene</w:instrText>
      </w:r>
    </w:p>
    <w:p w:rsidR="00467105" w:rsidP="0042796F">
      <w:pPr>
        <w:spacing w:after="0" w:line="240" w:lineRule="auto"/>
        <w:contextualSpacing/>
        <w:rPr>
          <w:sz w:val="20"/>
          <w:szCs w:val="20"/>
        </w:rPr>
      </w:pPr>
      <w:r>
        <w:rPr>
          <w:sz w:val="20"/>
          <w:szCs w:val="20"/>
        </w:rPr>
        <w:instrText>therapies.</w:instrText>
      </w:r>
    </w:p>
    <w:p w:rsidR="00467105" w:rsidP="0042796F">
      <w:pPr>
        <w:spacing w:after="0" w:line="240" w:lineRule="auto"/>
        <w:contextualSpacing/>
        <w:rPr>
          <w:sz w:val="20"/>
          <w:szCs w:val="20"/>
        </w:rPr>
      </w:pPr>
      <w:r>
        <w:rPr>
          <w:sz w:val="20"/>
          <w:szCs w:val="20"/>
        </w:rPr>
        <w:instrText>4 Understand the changing landscape of myasthenia gravis treatment in light of recent</w:instrText>
      </w:r>
    </w:p>
    <w:p w:rsidR="00467105" w:rsidP="0042796F">
      <w:pPr>
        <w:spacing w:after="0" w:line="240" w:lineRule="auto"/>
        <w:contextualSpacing/>
        <w:rPr>
          <w:sz w:val="20"/>
          <w:szCs w:val="20"/>
        </w:rPr>
      </w:pPr>
      <w:r>
        <w:rPr>
          <w:sz w:val="20"/>
          <w:szCs w:val="20"/>
        </w:rPr>
        <w:instrText>development of targeted therapies such as complement inhibition and neonatal Fc</w:instrText>
      </w:r>
    </w:p>
    <w:p w:rsidR="00467105" w:rsidP="0042796F">
      <w:pPr>
        <w:spacing w:after="0" w:line="240" w:lineRule="auto"/>
        <w:contextualSpacing/>
        <w:rPr>
          <w:sz w:val="20"/>
          <w:szCs w:val="20"/>
        </w:rPr>
      </w:pPr>
      <w:r>
        <w:rPr>
          <w:sz w:val="20"/>
          <w:szCs w:val="20"/>
        </w:rPr>
        <w:instrText>receptor (FcRn) blockade.</w:instrText>
      </w:r>
    </w:p>
    <w:p w:rsidR="00467105" w:rsidP="0042796F">
      <w:pPr>
        <w:spacing w:after="0" w:line="240" w:lineRule="auto"/>
        <w:contextualSpacing/>
        <w:rPr>
          <w:sz w:val="20"/>
          <w:szCs w:val="20"/>
        </w:rPr>
      </w:pPr>
      <w:r>
        <w:rPr>
          <w:sz w:val="20"/>
          <w:szCs w:val="20"/>
        </w:rPr>
        <w:instrText>5 Discuss ongoing clinical trials in Amyotrophic Lateral Sclerosis including gene targeted and cell-based therapies.</w:instrText>
      </w:r>
    </w:p>
    <w:p w:rsidR="00467105" w:rsidP="0042796F">
      <w:pPr>
        <w:spacing w:after="0" w:line="240" w:lineRule="auto"/>
        <w:contextualSpacing/>
        <w:rPr>
          <w:sz w:val="20"/>
          <w:szCs w:val="20"/>
        </w:rPr>
      </w:pPr>
      <w:r>
        <w:rPr>
          <w:sz w:val="20"/>
          <w:szCs w:val="20"/>
        </w:rPr>
        <w:instrText>6 Understand the diagnostic and therapeutic advancements of muscle diseases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different clinical presentations and patterns of involvement in neuromuscular</w:instrText>
      </w:r>
    </w:p>
    <w:p w:rsidP="0042796F">
      <w:pPr>
        <w:spacing w:after="0" w:line="240" w:lineRule="auto"/>
        <w:contextualSpacing/>
        <w:rPr>
          <w:sz w:val="24"/>
          <w:szCs w:val="24"/>
        </w:rPr>
      </w:pPr>
      <w:r>
        <w:rPr>
          <w:sz w:val="24"/>
          <w:szCs w:val="24"/>
        </w:rPr>
        <w:instrText>diseases.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Understand current standards and guidelines for management of neuromuscular</w:instrText>
      </w:r>
    </w:p>
    <w:p w:rsidP="0042796F">
      <w:pPr>
        <w:spacing w:after="0" w:line="240" w:lineRule="auto"/>
        <w:contextualSpacing/>
        <w:rPr>
          <w:sz w:val="24"/>
          <w:szCs w:val="24"/>
        </w:rPr>
      </w:pPr>
      <w:r>
        <w:rPr>
          <w:sz w:val="24"/>
          <w:szCs w:val="24"/>
        </w:rPr>
        <w:instrText>disorders.</w:instrText>
      </w:r>
    </w:p>
    <w:p w:rsidP="0042796F">
      <w:pPr>
        <w:spacing w:after="0" w:line="240" w:lineRule="auto"/>
        <w:contextualSpacing/>
        <w:rPr>
          <w:sz w:val="24"/>
          <w:szCs w:val="24"/>
        </w:rPr>
      </w:pPr>
      <w:r>
        <w:rPr>
          <w:sz w:val="24"/>
          <w:szCs w:val="24"/>
        </w:rPr>
        <w:instrText>3 Understand genetic basis of inherited myopathies and advancements in gene</w:instrText>
      </w:r>
    </w:p>
    <w:p w:rsidP="0042796F">
      <w:pPr>
        <w:spacing w:after="0" w:line="240" w:lineRule="auto"/>
        <w:contextualSpacing/>
        <w:rPr>
          <w:sz w:val="24"/>
          <w:szCs w:val="24"/>
        </w:rPr>
      </w:pPr>
      <w:r>
        <w:rPr>
          <w:sz w:val="24"/>
          <w:szCs w:val="24"/>
        </w:rPr>
        <w:instrText>therapies.</w:instrText>
      </w:r>
    </w:p>
    <w:p w:rsidP="0042796F">
      <w:pPr>
        <w:spacing w:after="0" w:line="240" w:lineRule="auto"/>
        <w:contextualSpacing/>
        <w:rPr>
          <w:sz w:val="24"/>
          <w:szCs w:val="24"/>
        </w:rPr>
      </w:pPr>
      <w:r>
        <w:rPr>
          <w:sz w:val="24"/>
          <w:szCs w:val="24"/>
        </w:rPr>
        <w:instrText>4 Understand the changing landscape of myasthenia gravis treatment in light of recent</w:instrText>
      </w:r>
    </w:p>
    <w:p w:rsidP="0042796F">
      <w:pPr>
        <w:spacing w:after="0" w:line="240" w:lineRule="auto"/>
        <w:contextualSpacing/>
        <w:rPr>
          <w:sz w:val="24"/>
          <w:szCs w:val="24"/>
        </w:rPr>
      </w:pPr>
      <w:r>
        <w:rPr>
          <w:sz w:val="24"/>
          <w:szCs w:val="24"/>
        </w:rPr>
        <w:instrText>development of targeted therapies such as complement inhibition and neonatal Fc</w:instrText>
      </w:r>
    </w:p>
    <w:p w:rsidP="0042796F">
      <w:pPr>
        <w:spacing w:after="0" w:line="240" w:lineRule="auto"/>
        <w:contextualSpacing/>
        <w:rPr>
          <w:sz w:val="24"/>
          <w:szCs w:val="24"/>
        </w:rPr>
      </w:pPr>
      <w:r>
        <w:rPr>
          <w:sz w:val="24"/>
          <w:szCs w:val="24"/>
        </w:rPr>
        <w:instrText>receptor (FcRn) blockade.</w:instrText>
      </w:r>
    </w:p>
    <w:p w:rsidP="0042796F">
      <w:pPr>
        <w:spacing w:after="0" w:line="240" w:lineRule="auto"/>
        <w:contextualSpacing/>
        <w:rPr>
          <w:sz w:val="24"/>
          <w:szCs w:val="24"/>
        </w:rPr>
      </w:pPr>
      <w:r>
        <w:rPr>
          <w:sz w:val="24"/>
          <w:szCs w:val="24"/>
        </w:rPr>
        <w:instrText>5 Discuss ongoing clinical trials in Amyotrophic Lateral Sclerosis including gene targeted and cell-based therapies.</w:instrText>
      </w:r>
    </w:p>
    <w:p w:rsidP="0042796F">
      <w:pPr>
        <w:spacing w:after="0" w:line="240" w:lineRule="auto"/>
        <w:contextualSpacing/>
        <w:rPr>
          <w:sz w:val="24"/>
          <w:szCs w:val="24"/>
        </w:rPr>
      </w:pPr>
      <w:r>
        <w:rPr>
          <w:sz w:val="24"/>
          <w:szCs w:val="24"/>
        </w:rPr>
        <w:instrText>6 Understand the diagnostic and therapeutic advancements of muscle diseases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different clinical presentations and patterns of involvement in neuromuscular</w:t>
      </w:r>
    </w:p>
    <w:p w:rsidP="0042796F">
      <w:pPr>
        <w:spacing w:after="0" w:line="240" w:lineRule="auto"/>
        <w:contextualSpacing/>
        <w:rPr>
          <w:sz w:val="24"/>
          <w:szCs w:val="24"/>
        </w:rPr>
      </w:pPr>
      <w:r>
        <w:rPr>
          <w:sz w:val="24"/>
          <w:szCs w:val="24"/>
        </w:rPr>
        <w:t>diseases.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Understand current standards and guidelines for management of neuromuscular</w:t>
      </w:r>
    </w:p>
    <w:p w:rsidP="0042796F">
      <w:pPr>
        <w:spacing w:after="0" w:line="240" w:lineRule="auto"/>
        <w:contextualSpacing/>
        <w:rPr>
          <w:sz w:val="24"/>
          <w:szCs w:val="24"/>
        </w:rPr>
      </w:pPr>
      <w:r>
        <w:rPr>
          <w:sz w:val="24"/>
          <w:szCs w:val="24"/>
        </w:rPr>
        <w:t>disorders.</w:t>
      </w:r>
    </w:p>
    <w:p w:rsidP="0042796F">
      <w:pPr>
        <w:spacing w:after="0" w:line="240" w:lineRule="auto"/>
        <w:contextualSpacing/>
        <w:rPr>
          <w:sz w:val="24"/>
          <w:szCs w:val="24"/>
        </w:rPr>
      </w:pPr>
      <w:r>
        <w:rPr>
          <w:sz w:val="24"/>
          <w:szCs w:val="24"/>
        </w:rPr>
        <w:t>3 Understand genetic basis of inherited myopathies and advancements in gene</w:t>
      </w:r>
    </w:p>
    <w:p w:rsidP="0042796F">
      <w:pPr>
        <w:spacing w:after="0" w:line="240" w:lineRule="auto"/>
        <w:contextualSpacing/>
        <w:rPr>
          <w:sz w:val="24"/>
          <w:szCs w:val="24"/>
        </w:rPr>
      </w:pPr>
      <w:r>
        <w:rPr>
          <w:sz w:val="24"/>
          <w:szCs w:val="24"/>
        </w:rPr>
        <w:t>therapies.</w:t>
      </w:r>
    </w:p>
    <w:p w:rsidP="0042796F">
      <w:pPr>
        <w:spacing w:after="0" w:line="240" w:lineRule="auto"/>
        <w:contextualSpacing/>
        <w:rPr>
          <w:sz w:val="24"/>
          <w:szCs w:val="24"/>
        </w:rPr>
      </w:pPr>
      <w:r>
        <w:rPr>
          <w:sz w:val="24"/>
          <w:szCs w:val="24"/>
        </w:rPr>
        <w:t>4 Understand the changing landscape of myasthenia gravis treatment in light of recent</w:t>
      </w:r>
    </w:p>
    <w:p w:rsidP="0042796F">
      <w:pPr>
        <w:spacing w:after="0" w:line="240" w:lineRule="auto"/>
        <w:contextualSpacing/>
        <w:rPr>
          <w:sz w:val="24"/>
          <w:szCs w:val="24"/>
        </w:rPr>
      </w:pPr>
      <w:r>
        <w:rPr>
          <w:sz w:val="24"/>
          <w:szCs w:val="24"/>
        </w:rPr>
        <w:t>development of targeted therapies such as complement inhibition and neonatal Fc</w:t>
      </w:r>
    </w:p>
    <w:p w:rsidP="0042796F">
      <w:pPr>
        <w:spacing w:after="0" w:line="240" w:lineRule="auto"/>
        <w:contextualSpacing/>
        <w:rPr>
          <w:sz w:val="24"/>
          <w:szCs w:val="24"/>
        </w:rPr>
      </w:pPr>
      <w:r>
        <w:rPr>
          <w:sz w:val="24"/>
          <w:szCs w:val="24"/>
        </w:rPr>
        <w:t>receptor (FcRn) blockade.</w:t>
      </w:r>
    </w:p>
    <w:p w:rsidP="0042796F">
      <w:pPr>
        <w:spacing w:after="0" w:line="240" w:lineRule="auto"/>
        <w:contextualSpacing/>
        <w:rPr>
          <w:sz w:val="24"/>
          <w:szCs w:val="24"/>
        </w:rPr>
      </w:pPr>
      <w:r>
        <w:rPr>
          <w:sz w:val="24"/>
          <w:szCs w:val="24"/>
        </w:rPr>
        <w:t>5 Discuss ongoing clinical trials in Amyotrophic Lateral Sclerosis including gene targeted and cell-based therapies.</w:t>
      </w:r>
    </w:p>
    <w:p w:rsidR="00467105" w:rsidP="0042796F">
      <w:pPr>
        <w:spacing w:after="0" w:line="240" w:lineRule="auto"/>
        <w:contextualSpacing/>
        <w:rPr>
          <w:sz w:val="20"/>
          <w:szCs w:val="20"/>
        </w:rPr>
      </w:pPr>
      <w:r>
        <w:rPr>
          <w:sz w:val="24"/>
          <w:szCs w:val="24"/>
        </w:rPr>
        <w:t>6 Understand the diagnostic and therapeutic advancements of muscle diseases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8.00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Kaitlin Batley,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Advisor-Dyne (Relationship has ended)|Advisor-Solid (Relationship has ended)|Advisor-BridgeBio (Relationship has ended)|Advisor-Applied Therapeutics (Relationship has ended)|Advisor-Biogen (Relationship has ended)|Advisor-Catalyst Pharmaceuticals (Relationship has ended)|Advisor-ITF Therapeutics (Relationship has ended)|Advisor-Sarepta Therapeutics (Relationship has ended)|Advisor-Scholar Rock (Relationship has ended)|Advisor-UCB, Inc (Relationship has ended)|Advisor-Regenxbio (Relationship has ended)|Advisor-Novartis Corporation Pharmaceuticals (Relationship has ended)|Advisor-Johnson &amp; Johnson (Relationship has ended)|Independent Contractor (included contracted research)-Catalyst Pharmaceuticals|Independent Contractor (included contracted research)-Scholar Rock|Independent Contractor (included contracted research)-Amicus|Independent Contractor (included contracted research)-Genentech|Independent Contractor (included contracted research)-NS Pharma|Independent Contractor (included contracted research)-Sarepta (Relationship has ended)|Independent Contractor (included contracted research)-UCB, Inc (Relationship has ended)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Olimpia Carbunar,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support-Argenx|Grant or research support-Kyverna Therapeutics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Mazen M Dimachkie,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support-Alexion Pharmaceuticals|Consulting Fee-Astellas (Any division)|Grant or research support-AstraZeneca (Any division)|Grant or research support-Bristol-Myers Squibb Company|Consulting Fee-CSL Behring, LLC|Grant or research support-CSL Behring, LLC|Consulting Fee-EMD Serono|Grant or research support-EMD Serono|Grant or research support-Genentech (Any division)|Grant or research support-Grifols|Consulting Fee-Horizon Pharmaceuticals|Grant or research support-Horizon Pharmaceuticals|Consulting Fee-Janssen (Any division)|Grant or research support-Muscular Dystrophy Association|Grant or research support-Novartis Corporation Pharmaceuticals|Grant or research support-UCB|Consulting Fee-Sanofi S.A.|Grant or research support-Sanofi S.A.|Grant or research support-Genzyme (Any division)|Consulting Fee-Genzyme (Any division)|Consulting Fee-Shire Pharmaceuticals|Grant or research support-Shire Pharmaceuticals|Consulting Fee-Takeda Pharmaceuticals (Any division)|Grant or research support-Takeda Pharmaceuticals (Any division)|Consulting Fee-Vertex Pharmaceuticals|Consulting Fee-Abcuro, Inc|Grant or research support-Abcuro, Inc|Grant or research support-Alnylam Pharmaceuticals|Consulting Fee-Amicus Therapeutics|Grant or research support-Amicus Therapeutics|Consulting Fee-Annexon Biosciences|Grant or research support-ArgenX|Consulting Fee-ArgenX|Grant or research support-Biosensics|Consulting Fee-Cabaletta Bio|Grant or research support-Cabaletta Bio|Consulting Fee-Catalyst Pharma|Grant or research support-Catalyst Pharma|Membership on Advisory Committees or Review Panels, Board Membership, etc.-Covance-Labcorp-Fortrea|Consulting Fee-Creyon Bio, Inc|Consulting Fee-Dianthus Therapeutics|Royalties or Patent Beneficiary-Elsevier|Grant or research support-FDA Office of Orphan Products Development|Grant or research support-GlaxoSmithKline|Consulting Fee-Ig Society, Inc|Consulting Fee-Medlink|Grant or research support-Mitsubishi Tanabe Pharma|Grant or research support-National Institutes of Health- NIH|Grant or research support-Nkarta|Grant or research support-Nuvig Therapeutics|Consulting Fee-Octapharma|Grant or research support-Octapharma|Grant or research support-Priovant Therapeutics|Grant or research support-Sarepta Therapeutics|Grant or research support-Spark Therapeutics|Consulting Fee-TACT-Treat NMD|Grant or research support-The Myositis Association|Royalties or Patent Beneficiary-Wolters Kluwer Health|Royalties or Patent Beneficiary-Zevra Therapeutics - Orphazyme|Grant or research support-Zevra Therapeutics - Orphazyme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miriam freimer,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etc.-Cartesian Pharma (Relationship has ended)|Membership on Advisory Committees or Review Panels, Board Membership, etc.-NMD Pharma (Relationship has ended)|Membership on Advisory Committees or Review Panels, Board Membership, etc.-ARGENX|Honoraria-Med Learning (Relationship has ended)|Membership on Advisory Committees or Review Panels, Board Membership, etc.-UCB|Membership on Advisory Committees or Review Panels, Board Membership, etc.-J and J (Relationship has ended)|Membership on Advisory Committees or Review Panels, Board Membership, etc.-Arcellx (Relationship has ended)|Grant or research support-Dianthus|Grant or research support-Avidity|Grant or research support-Abcurro|Grant or research support-Arcellx|Grant or research support-Argenx|Grant or research support-COur|Grant or research support-NMD|Grant or research support-UCB - 04/12/2026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Namita Goyal,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support-Abcuro|Grant or research support-Annexon|Grant or research support-Calico|Grant or research support-Clene|Grant or research support-Fulcrum (Relationship has ended)|Grant or research support-Janssen|Grant or research support-Medicinova|Grant or research support-MT Pharma (Relationship has ended)|Grant or research support-PepGen|Grant or research support-Prilenia|Grant or research support-PTC therapeutics (Relationship has ended)|Grant or research support-Roche|Grant or research support-Sanofi|Grant or research support-Transposon (Relationship has ended)|Speakers Bureau-Argenx|Speakers Bureau-CSL Behring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 A Habib,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support-argenx|Grant or research support-Alexion Pharmaceuticals|Grant or research support-UCB|Grant or research support-CabalettaBio|Grant or research support-Genentech (Any division)|Grant or research support-Immunovant|Grant or research support-Regeneron Pharmaceuticals, Inc.|Grant or research support-VielaBio-Horizon|Speakers Bureau-Alexion Pharmaceuticals|Speakers Bureau-UCB|Speakers Bureau-argenx|Membership on Advisory Committees or Review Panels, Board Membership, etc.-argenx|Membership on Advisory Committees or Review Panels, Board Membership, etc.-UCB|Membership on Advisory Committees or Review Panels, Board Membership, etc.-Roche (Any division) (Relationship has ended)|Paid consultant-NMDPharma|Grant or research support-Arcellx|Grant or research support-Novartis Corporation Pharmaceuticals|Grant or research support-Merck (Any division)|Grant or research support-NKarta|Consulting Fee-Grifols|Consulting Fee-Janssen (Any division)|Speakers Bureau-Janssen (Any division)|Consulting Fee-Kyverna|Grant or research support-Cour Therapeutics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Kwan,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A Lewis,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Fee-Annexon |Consulting Fee-Argenx |Consulting Fee-Seismic|Consulting Fee-BioCrist|Consulting Fee-Intellia|Consulting Fee-TGTX|Consulting Fee-tgtx|Consulting Fee-Dianthus |Consulting Fee-Grifols|Consulting Fee-Janssen (Any division)|Consulting Fee-Nuvig |Consulting Fee-Sanofi S.A.|Consulting Fee-Takeda Pharmaceuticals (Any division)|Consulting Fee-Immunovant|Consulting Fee-Boehringer Ingelheim Pharmaceuticals, Inc.|Consulting Fee-Novartis Corporation Pharmaceuticals|Honoraria-Medscape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McIntosh,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Fee-Sanofi S.A. (Relationship has ended)|Consulting Fee-Amicus Therapeutics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Tahseen Mozaffar, MD,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Fee-Alexion Pharmaceuticals|Consulting Fee-Amicus|Consulting Fee-Sanofi|Consulting Fee-Fate Therapeutics|Consulting Fee-Maze Therapeutics|Grant or research support-Spark Therapeutics (Relationship has ended)|Consulting Fee-Cabaletta (Relationship has ended)|Grant or research support-AnnJi (Relationship has ended)|Grant or research support-Ask Bio|Consulting Fee-Horizon Therapeutics|Grant or research support-Cabaletta|Consulting Fee-Janssen (Any division) (Relationship has ended)|Consulting Fee-Argenx|Grant or research support-Argenx|Consulting Fee-Merck (Any division)|Honoraria-Muscular Dystrophy Association|Consulting Fee-Regeneron Pharmaceuticals, Inc.|Consulting Fee-UCB|Grant or research support-Astellas (Any division)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Mullen,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Srikanth Muppidi,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Advisor-Alexion Pharmaceuticals|Advisor-Amgen, Inc.|Advisor-Johnson &amp; Johnson|Advisor-Novartis Corporation Pharmaceuticals|Membership on Advisory Committees or Review Panels, Board Membership, etc.-Dianthus|Advisor-Kyverna - 05/06/2026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Mona Rezaei,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Rosenfeld, MD, PhD, Professor of Neurology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Bureau-Johnson &amp; Johnson|Grant or research support-Novartis Corporation Pharmaceuticals|Speakers Bureau-argenx|Advisor-argenx|Speakers Bureau-Alexion|Advisor-NeuroSense Pharma|Advisor-Vor Biopharma|Advisor-Annexon|Advisor-Serano (Relationship has ended)|Grant or research support-Muscular Dystrophy Association|Grant or research support-ALS Network|Advisor-UCB|Advisor-MTPA (Relationship has ended) - 05/02/2026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Perry Shieh, MD, PhD, FAAN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Bureau-Alexion Pharmaceuticals|Speakers Bureau-UCB|Speakers Bureau-Biogen|Speakers Bureau-Genentech (Any division)|Speakers Bureau-CSL Behring, LLC|Speakers Bureau-argenx|Speakers Bureau-Grifols|Consulting Fee-Sarepta|Consulting Fee-Novartis Corporation Pharmaceuticals|Consulting Fee-Biogen|Consulting Fee-Genentech (Any division)|Consulting Fee-Alexion Pharmaceuticals|Consulting Fee-UCB|Speakers Bureau-Catalyst|Speakers Bureau-Johnson &amp; Johnson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Shulemson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Werner Stenzel,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Bryan J Traynor, MD, PhD, Senior Investigator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support-AbbVie (Any division)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Bhavesh Trikamji,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Leo Wang,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