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The Ninth Annual John A. Kusske Lecture Series</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The Ninth Annual John A. Kusske Lecture Series</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October 10, 2025</w:t>
      </w:r>
      <w:r>
        <w:rPr>
          <w:sz w:val="24"/>
          <w:szCs w:val="24"/>
        </w:rPr>
        <w:fldChar w:fldCharType="begin"/>
      </w:r>
      <w:r>
        <w:rPr>
          <w:sz w:val="24"/>
          <w:szCs w:val="24"/>
        </w:rPr>
        <w:instrText xml:space="preserve"> IF </w:instrText>
      </w:r>
      <w:r>
        <w:rPr>
          <w:sz w:val="24"/>
          <w:szCs w:val="24"/>
        </w:rPr>
        <w:instrText>"</w:instrText>
      </w:r>
      <w:r>
        <w:rPr>
          <w:sz w:val="24"/>
          <w:szCs w:val="24"/>
        </w:rPr>
        <w:instrText>10 10 2025</w:instrText>
      </w:r>
      <w:r>
        <w:rPr>
          <w:sz w:val="24"/>
          <w:szCs w:val="24"/>
        </w:rPr>
        <w:instrText>"</w:instrText>
      </w:r>
      <w:r>
        <w:rPr>
          <w:sz w:val="24"/>
          <w:szCs w:val="24"/>
        </w:rPr>
        <w:instrText xml:space="preserve"> &lt;&gt; </w:instrText>
      </w:r>
      <w:r>
        <w:rPr>
          <w:sz w:val="24"/>
          <w:szCs w:val="24"/>
        </w:rPr>
        <w:instrText>"</w:instrText>
      </w:r>
      <w:r>
        <w:rPr>
          <w:sz w:val="24"/>
          <w:szCs w:val="24"/>
        </w:rPr>
        <w:instrText>10 10 2025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The John. A. Kusske Lecture was established in 2017 to honor Dr. John Kusske, one of the former chairs of UCI School of Medicine Department of Neurological Surgery. Kusske's dedication and valuable contributions have been instrumental in transforming the Department of Neurological Surgery into a well-established program of major national and international recognition.</w:instrText>
      </w:r>
    </w:p>
    <w:p>
      <w:pPr>
        <w:bidi w:val="0"/>
        <w:spacing w:after="280" w:afterAutospacing="1"/>
        <w:rPr>
          <w:rtl w:val="0"/>
        </w:rPr>
      </w:pPr>
      <w:r>
        <w:rPr>
          <w:rtl w:val="0"/>
        </w:rPr>
        <w:br/>
      </w:r>
      <w:r>
        <w:rPr>
          <w:b/>
          <w:bCs/>
          <w:rtl w:val="0"/>
        </w:rPr>
        <w:instrText>REGISTRATION:</w:instrText>
      </w:r>
      <w:r>
        <w:rPr>
          <w:rtl w:val="0"/>
        </w:rPr>
        <w:instrText xml:space="preserve"> Complimentary Event. Registration is required. Select the register tab above. </w:instrText>
      </w:r>
      <w:r>
        <w:rPr>
          <w:b/>
          <w:bCs/>
          <w:rtl w:val="0"/>
        </w:rPr>
        <w:instrText>LOCATION:</w:instrText>
      </w:r>
      <w:r>
        <w:rPr>
          <w:rtl w:val="0"/>
        </w:rPr>
        <w:instrText> The Cove at UCI - 5270 California Ave # 100, Irvine, CA 92617</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The John. A. Kusske Lecture was established in 2017 to honor Dr. John Kusske, one of the former chairs of UCI School of Medicine Department of Neurological Surgery. Kusske's dedication and valuable contributions have been instrumental in transforming the Department of Neurological Surgery into a well-established program of major national and international recognition.</w:instrText>
      </w:r>
    </w:p>
    <w:p>
      <w:pPr>
        <w:bidi w:val="0"/>
        <w:spacing w:after="280" w:afterAutospacing="1"/>
        <w:rPr>
          <w:rtl w:val="0"/>
        </w:rPr>
      </w:pPr>
      <w:r>
        <w:rPr>
          <w:rtl w:val="0"/>
        </w:rPr>
        <w:br/>
      </w:r>
      <w:r>
        <w:rPr>
          <w:b/>
          <w:bCs/>
          <w:rtl w:val="0"/>
        </w:rPr>
        <w:instrText>REGISTRATION:</w:instrText>
      </w:r>
      <w:r>
        <w:rPr>
          <w:rtl w:val="0"/>
        </w:rPr>
        <w:instrText xml:space="preserve"> Complimentary Event. Registration is required. Select the register tab above. </w:instrText>
      </w:r>
      <w:r>
        <w:rPr>
          <w:b/>
          <w:bCs/>
          <w:rtl w:val="0"/>
        </w:rPr>
        <w:instrText>LOCATION:</w:instrText>
      </w:r>
      <w:r>
        <w:rPr>
          <w:rtl w:val="0"/>
        </w:rPr>
        <w:instrText> The Cove at UCI - 5270 California Ave # 100, Irvine, CA 92617</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The John. A. Kusske Lecture was established in 2017 to honor Dr. John Kusske, one of the former chairs of UCI School of Medicine Department of Neurological Surgery. Kusske's dedication and valuable contributions have been instrumental in transforming the Department of Neurological Surgery into a well-established program of major national and international recognition.</w:t>
      </w:r>
    </w:p>
    <w:p>
      <w:pPr>
        <w:bidi w:val="0"/>
        <w:spacing w:after="280" w:afterAutospacing="1"/>
        <w:rPr>
          <w:rtl w:val="0"/>
        </w:rPr>
      </w:pPr>
      <w:r>
        <w:rPr>
          <w:rtl w:val="0"/>
        </w:rPr>
        <w:br/>
      </w:r>
      <w:r>
        <w:rPr>
          <w:b/>
          <w:bCs/>
          <w:rtl w:val="0"/>
        </w:rPr>
        <w:t>REGISTRATION:</w:t>
      </w:r>
      <w:r>
        <w:rPr>
          <w:rtl w:val="0"/>
        </w:rPr>
        <w:t xml:space="preserve"> Complimentary Event. Registration is required. Select the register tab above. </w:t>
      </w:r>
      <w:r>
        <w:rPr>
          <w:b/>
          <w:bCs/>
          <w:rtl w:val="0"/>
        </w:rPr>
        <w:t>LOCATION:</w:t>
      </w:r>
      <w:r>
        <w:rPr>
          <w:rtl w:val="0"/>
        </w:rPr>
        <w:t> The Cove at UCI - 5270 California Ave # 100, Irvine, CA 92617</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Neurological Surgery</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Nurse Practitioner, Physician Assistant, Resident Physician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Neurological Surgery</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Neurological Surgery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Neurological Surgery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Nurse Practitioner, Physician Assistant, Resident Physician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Nurse Practitioner, Physician Assistant, Resident Physician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Nurse Practitioner,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Neurological Surgery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Nurse Practitioner, Physician Assistant, Resident Physician</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Identify the scope of the current neurosurgical disorders seen in clinical practice.</w:instrText>
      </w:r>
    </w:p>
    <w:p w:rsidR="00467105" w:rsidP="0042796F">
      <w:pPr>
        <w:spacing w:after="0" w:line="240" w:lineRule="auto"/>
        <w:contextualSpacing/>
        <w:rPr>
          <w:sz w:val="20"/>
          <w:szCs w:val="20"/>
        </w:rPr>
      </w:pPr>
      <w:r>
        <w:rPr>
          <w:sz w:val="20"/>
          <w:szCs w:val="20"/>
        </w:rPr>
        <w:instrText>2 Critically define modern advances in neurological techniques and methods along with their indications.</w:instrText>
      </w:r>
    </w:p>
    <w:p w:rsidR="00467105" w:rsidP="0042796F">
      <w:pPr>
        <w:spacing w:after="0" w:line="240" w:lineRule="auto"/>
        <w:contextualSpacing/>
        <w:rPr>
          <w:sz w:val="20"/>
          <w:szCs w:val="20"/>
        </w:rPr>
      </w:pPr>
      <w:r>
        <w:rPr>
          <w:sz w:val="20"/>
          <w:szCs w:val="20"/>
        </w:rPr>
        <w:instrText>3 Critically review outcomes of neurological diseases treated surgically.</w:instrText>
      </w:r>
    </w:p>
    <w:p w:rsidR="00467105" w:rsidP="0042796F">
      <w:pPr>
        <w:spacing w:after="0" w:line="240" w:lineRule="auto"/>
        <w:contextualSpacing/>
        <w:rPr>
          <w:sz w:val="20"/>
          <w:szCs w:val="20"/>
        </w:rPr>
      </w:pPr>
      <w:r>
        <w:rPr>
          <w:sz w:val="20"/>
          <w:szCs w:val="20"/>
        </w:rPr>
        <w:instrText>4 Determine recent developments in neurosurgery.</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Identify the scope of the current neurosurgical disorders seen in clinical practice.</w:instrText>
      </w:r>
    </w:p>
    <w:p w:rsidP="0042796F">
      <w:pPr>
        <w:spacing w:after="0" w:line="240" w:lineRule="auto"/>
        <w:contextualSpacing/>
        <w:rPr>
          <w:sz w:val="24"/>
          <w:szCs w:val="24"/>
        </w:rPr>
      </w:pPr>
      <w:r>
        <w:rPr>
          <w:sz w:val="24"/>
          <w:szCs w:val="24"/>
        </w:rPr>
        <w:instrText>2 Critically define modern advances in neurological techniques and methods along with their indications.</w:instrText>
      </w:r>
    </w:p>
    <w:p w:rsidP="0042796F">
      <w:pPr>
        <w:spacing w:after="0" w:line="240" w:lineRule="auto"/>
        <w:contextualSpacing/>
        <w:rPr>
          <w:sz w:val="24"/>
          <w:szCs w:val="24"/>
        </w:rPr>
      </w:pPr>
      <w:r>
        <w:rPr>
          <w:sz w:val="24"/>
          <w:szCs w:val="24"/>
        </w:rPr>
        <w:instrText>3 Critically review outcomes of neurological diseases treated surgically.</w:instrText>
      </w:r>
    </w:p>
    <w:p w:rsidP="0042796F">
      <w:pPr>
        <w:spacing w:after="0" w:line="240" w:lineRule="auto"/>
        <w:contextualSpacing/>
        <w:rPr>
          <w:sz w:val="24"/>
          <w:szCs w:val="24"/>
        </w:rPr>
      </w:pPr>
      <w:r>
        <w:rPr>
          <w:sz w:val="24"/>
          <w:szCs w:val="24"/>
        </w:rPr>
        <w:instrText>4 Determine recent developments in neurosurgery.</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Identify the scope of the current neurosurgical disorders seen in clinical practice.</w:t>
      </w:r>
    </w:p>
    <w:p w:rsidP="0042796F">
      <w:pPr>
        <w:spacing w:after="0" w:line="240" w:lineRule="auto"/>
        <w:contextualSpacing/>
        <w:rPr>
          <w:sz w:val="24"/>
          <w:szCs w:val="24"/>
        </w:rPr>
      </w:pPr>
      <w:r>
        <w:rPr>
          <w:sz w:val="24"/>
          <w:szCs w:val="24"/>
        </w:rPr>
        <w:t>2 Critically define modern advances in neurological techniques and methods along with their indications.</w:t>
      </w:r>
    </w:p>
    <w:p w:rsidP="0042796F">
      <w:pPr>
        <w:spacing w:after="0" w:line="240" w:lineRule="auto"/>
        <w:contextualSpacing/>
        <w:rPr>
          <w:sz w:val="24"/>
          <w:szCs w:val="24"/>
        </w:rPr>
      </w:pPr>
      <w:r>
        <w:rPr>
          <w:sz w:val="24"/>
          <w:szCs w:val="24"/>
        </w:rPr>
        <w:t>3 Critically review outcomes of neurological diseases treated surgically.</w:t>
      </w:r>
    </w:p>
    <w:p w:rsidR="00467105" w:rsidP="0042796F">
      <w:pPr>
        <w:spacing w:after="0" w:line="240" w:lineRule="auto"/>
        <w:contextualSpacing/>
        <w:rPr>
          <w:sz w:val="20"/>
          <w:szCs w:val="20"/>
        </w:rPr>
      </w:pPr>
      <w:r>
        <w:rPr>
          <w:sz w:val="24"/>
          <w:szCs w:val="24"/>
        </w:rPr>
        <w:t>4 Determine recent developments in neurosurgery.</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1.00</w:instrText>
      </w:r>
      <w:r>
        <w:rPr>
          <w:sz w:val="20"/>
          <w:szCs w:val="20"/>
        </w:rPr>
        <w:instrText xml:space="preserve"> </w:instrText>
      </w:r>
      <w:r>
        <w:rPr>
          <w:sz w:val="20"/>
          <w:szCs w:val="20"/>
        </w:rPr>
        <w:fldChar w:fldCharType="separate"/>
      </w:r>
      <w:r>
        <w:rPr>
          <w:sz w:val="20"/>
          <w:szCs w:val="20"/>
        </w:rPr>
        <w:instrText>1</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instrText>0.00</w:instrText>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Pr>
          <w:sz w:val="24"/>
          <w:szCs w:val="24"/>
        </w:rPr>
        <w:instrText>,</w:instrText>
      </w:r>
      <w:r w:rsidRPr="002844AD">
        <w:rPr>
          <w:sz w:val="24"/>
          <w:szCs w:val="24"/>
        </w:rPr>
        <w:instrText>enables the learner to earn credit toward the CME</w:instrText>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3360"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976213540"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Pr>
          <w:sz w:val="24"/>
          <w:szCs w:val="24"/>
        </w:rPr>
        <w:instrText>,</w:instrText>
      </w:r>
      <w:r w:rsidRPr="002844AD">
        <w:rPr>
          <w:sz w:val="24"/>
          <w:szCs w:val="24"/>
        </w:rPr>
        <w:instrText>enables the learner to earn credit toward the CME</w:instrText>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sidRPr="000063DA">
        <w:rPr>
          <w:sz w:val="24"/>
          <w:szCs w:val="24"/>
        </w:rPr>
        <w:instrText>ABMS</w:instrText>
      </w:r>
      <w:r>
        <w:rPr>
          <w:sz w:val="20"/>
          <w:szCs w:val="20"/>
        </w:rPr>
        <w:fldChar w:fldCharType="end"/>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t>MOC Statement(s)</w:t>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4384"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095225709"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t>Successful completion of this CME activity</w:t>
      </w:r>
      <w:r w:rsidRPr="00830DFB">
        <w:rPr>
          <w:sz w:val="24"/>
          <w:szCs w:val="24"/>
        </w:rPr>
        <w:t xml:space="preserve"> </w:t>
      </w:r>
      <w:r>
        <w:rPr>
          <w:sz w:val="24"/>
          <w:szCs w:val="24"/>
        </w:rPr>
        <w:t>,</w:t>
      </w:r>
      <w:r w:rsidRPr="002844AD">
        <w:rPr>
          <w:sz w:val="24"/>
          <w:szCs w:val="24"/>
        </w:rPr>
        <w:t>enables the learner to earn credit toward the CME</w:t>
      </w:r>
      <w:r>
        <w:rPr>
          <w:sz w:val="24"/>
          <w:szCs w:val="24"/>
        </w:rPr>
        <w:t xml:space="preserve"> </w:t>
      </w:r>
      <w:r w:rsidRPr="002844AD">
        <w:rPr>
          <w:sz w:val="24"/>
          <w:szCs w:val="24"/>
        </w:rPr>
        <w:t>requirement(s) of the American Board of Surgery’s Continuous Certification program. It is the CME activity provider's responsibility to submit learner completion information to ACCME for the purpose of granting ABS credit.</w:t>
      </w:r>
      <w:r w:rsidRPr="000063DA">
        <w:rPr>
          <w:sz w:val="24"/>
          <w:szCs w:val="24"/>
        </w:rPr>
        <w:t>ABMS</w:t>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Leslie Weterrings,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Cindy Yang,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Kiarash Golshani,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Oh,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etc.-2nd Skull|Consulting Fee-GS Medical|Membership on Advisory Committees or Review Panels, Board Membership, etc.-Intravent Medical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Bianca M Gutierrez,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Frank Hsu,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Ownership-AquaTex Medical |Grant or research support-Koh Young|Consulting Fee-Integra LifeSciences Corporation - 05/20/2025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Sumeet Vadera,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Dempsey,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- 09/19/2025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