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Episode 243:  Catatonia in Children and Teens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Episode 243:  Catatonia in Children and Teens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October 2, 2025</w:t>
      </w:r>
      <w:r>
        <w:rPr>
          <w:sz w:val="24"/>
          <w:szCs w:val="24"/>
        </w:rPr>
        <w:fldChar w:fldCharType="begin"/>
      </w:r>
      <w:r>
        <w:rPr>
          <w:sz w:val="24"/>
          <w:szCs w:val="24"/>
        </w:rPr>
        <w:instrText xml:space="preserve"> IF </w:instrText>
      </w:r>
      <w:r>
        <w:rPr>
          <w:sz w:val="24"/>
          <w:szCs w:val="24"/>
        </w:rPr>
        <w:instrText>"</w:instrText>
      </w:r>
      <w:r>
        <w:rPr>
          <w:sz w:val="24"/>
          <w:szCs w:val="24"/>
        </w:rPr>
        <w:instrText>10 2 2025</w:instrText>
      </w:r>
      <w:r>
        <w:rPr>
          <w:sz w:val="24"/>
          <w:szCs w:val="24"/>
        </w:rPr>
        <w:instrText>"</w:instrText>
      </w:r>
      <w:r>
        <w:rPr>
          <w:sz w:val="24"/>
          <w:szCs w:val="24"/>
        </w:rPr>
        <w:instrText xml:space="preserve"> &lt;&gt; </w:instrText>
      </w:r>
      <w:r>
        <w:rPr>
          <w:sz w:val="24"/>
          <w:szCs w:val="24"/>
        </w:rPr>
        <w:instrText>"</w:instrText>
      </w:r>
      <w:r>
        <w:rPr>
          <w:sz w:val="24"/>
          <w:szCs w:val="24"/>
        </w:rPr>
        <w:instrText>6 10 2026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June 10,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June 10,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how metabolism and lifestyle impact mental health, drawing on his extensive background in psychiatry, leadership, and advocacy.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typical presentation of catatonia in children, including unique pediatric features and explain the role of physical examination and rating scales (e.g., BFCRS, PCRS, KANNER) in diagnosing catatonia.</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List common psychiatric and medical causes of pediatric catatonia, discuss the role of substances and medications in inducing or exacerbating catatonia, and understand the importance of identifying and treating the underlying condition contributing to catatonia.</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3 Describe the use and interpretation of the lorazepam challenge test, outline dosing strategies, monitoring, and tapering considerations for benzodiazepine treatment, and discuss second-line interventions such as ECT.</w:instrText>
      </w:r>
    </w:p>
    <w:p w:rsidR="00467105" w:rsidP="0042796F">
      <w:pPr>
        <w:spacing w:after="0" w:line="240" w:lineRule="auto"/>
        <w:contextualSpacing/>
        <w:rPr>
          <w:sz w:val="20"/>
          <w:szCs w:val="20"/>
        </w:rPr>
      </w:pP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typical presentation of catatonia in children, including unique pediatric features and explain the role of physical examination and rating scales (e.g., BFCRS, PCRS, KANNER) in diagnosing catatonia.</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List common psychiatric and medical causes of pediatric catatonia, discuss the role of substances and medications in inducing or exacerbating catatonia, and understand the importance of identifying and treating the underlying condition contributing to catatonia.</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3 Describe the use and interpretation of the lorazepam challenge test, outline dosing strategies, monitoring, and tapering considerations for benzodiazepine treatment, and discuss second-line interventions such as ECT.</w:instrText>
      </w:r>
    </w:p>
    <w:p w:rsidP="0042796F">
      <w:pPr>
        <w:spacing w:after="0" w:line="240" w:lineRule="auto"/>
        <w:contextualSpacing/>
        <w:rPr>
          <w:sz w:val="24"/>
          <w:szCs w:val="24"/>
        </w:rPr>
      </w:pP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typical presentation of catatonia in children, including unique pediatric features and explain the role of physical examination and rating scales (e.g., BFCRS, PCRS, KANNER) in diagnosing catatonia.</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List common psychiatric and medical causes of pediatric catatonia, discuss the role of substances and medications in inducing or exacerbating catatonia, and understand the importance of identifying and treating the underlying condition contributing to catatonia.</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3 Describe the use and interpretation of the lorazepam challenge test, outline dosing strategies, monitoring, and tapering considerations for benzodiazepine treatment, and discuss second-line interventions such as ECT.</w:t>
      </w:r>
    </w:p>
    <w:p w:rsidR="00467105" w:rsidP="0042796F">
      <w:pPr>
        <w:spacing w:after="0" w:line="240" w:lineRule="auto"/>
        <w:contextualSpacing/>
        <w:rPr>
          <w:sz w:val="20"/>
          <w:szCs w:val="20"/>
        </w:rPr>
      </w:pP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Joshua Smith,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Industry-Sponsored Clinical Trials in Autism-Janssen (Any division)|Other: Industry-Sponsored Clinical Trials in Autism-Roche (Any division)|Other: Industry-Sponsored Clinical Trials in Autism-Axial|Other: Industry-Sponsored Clinical Trials in Autism-Vanda Pharmaceuticals|Other: Industry-Sponsored Clinical Trials in Autism-Bristol-Myers Squibb Company|Other: Salary Support-NICHD|Other: Salary Support-NIMH - 06/27/2025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