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Management of Challenging Behaviors in Autism Spectrum Disorders: Evaluation and Screening</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Management of Challenging Behaviors in Autism Spectrum Disorders: Evaluation and Screening</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February 6, 2026</w:t>
      </w:r>
      <w:r>
        <w:rPr>
          <w:sz w:val="24"/>
          <w:szCs w:val="24"/>
        </w:rPr>
        <w:fldChar w:fldCharType="begin"/>
      </w:r>
      <w:r>
        <w:rPr>
          <w:sz w:val="24"/>
          <w:szCs w:val="24"/>
        </w:rPr>
        <w:instrText xml:space="preserve"> IF </w:instrText>
      </w:r>
      <w:r>
        <w:rPr>
          <w:sz w:val="24"/>
          <w:szCs w:val="24"/>
        </w:rPr>
        <w:instrText>"</w:instrText>
      </w:r>
      <w:r>
        <w:rPr>
          <w:sz w:val="24"/>
          <w:szCs w:val="24"/>
        </w:rPr>
        <w:instrText>2 6 2026</w:instrText>
      </w:r>
      <w:r>
        <w:rPr>
          <w:sz w:val="24"/>
          <w:szCs w:val="24"/>
        </w:rPr>
        <w:instrText>"</w:instrText>
      </w:r>
      <w:r>
        <w:rPr>
          <w:sz w:val="24"/>
          <w:szCs w:val="24"/>
        </w:rPr>
        <w:instrText xml:space="preserve"> &lt;&gt; </w:instrText>
      </w:r>
      <w:r>
        <w:rPr>
          <w:sz w:val="24"/>
          <w:szCs w:val="24"/>
        </w:rPr>
        <w:instrText>"</w:instrText>
      </w:r>
      <w:r>
        <w:rPr>
          <w:sz w:val="24"/>
          <w:szCs w:val="24"/>
        </w:rPr>
        <w:instrText>11 30 2026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November 30,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November 30,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w:instrText>
      </w:r>
    </w:p>
    <w:p>
      <w:pPr>
        <w:numPr>
          <w:ilvl w:val="0"/>
          <w:numId w:val="1"/>
        </w:numPr>
        <w:bidi w:val="0"/>
        <w:spacing w:after="280" w:afterAutospacing="1"/>
        <w:rPr>
          <w:rtl w:val="0"/>
        </w:rPr>
      </w:pPr>
      <w:r>
        <w:rPr>
          <w:rtl w:val="0"/>
        </w:rPr>
        <w:instrText>Management of Challenging Behaviors in Autism Spectrum Disorders: Evaluation and Screening</w:instrText>
      </w:r>
    </w:p>
    <w:p>
      <w:pPr>
        <w:numPr>
          <w:ilvl w:val="0"/>
          <w:numId w:val="1"/>
        </w:numPr>
        <w:bidi w:val="0"/>
        <w:spacing w:after="280" w:afterAutospacing="1"/>
        <w:rPr>
          <w:rtl w:val="0"/>
        </w:rPr>
      </w:pPr>
      <w:r>
        <w:rPr>
          <w:rtl w:val="0"/>
        </w:rPr>
        <w:instrText>Autism Spectrum Disorder and Management: ADHD</w:instrText>
      </w:r>
    </w:p>
    <w:p>
      <w:pPr>
        <w:numPr>
          <w:ilvl w:val="0"/>
          <w:numId w:val="1"/>
        </w:numPr>
        <w:bidi w:val="0"/>
        <w:spacing w:after="280" w:afterAutospacing="1"/>
        <w:rPr>
          <w:rtl w:val="0"/>
        </w:rPr>
      </w:pPr>
      <w:r>
        <w:rPr>
          <w:rtl w:val="0"/>
        </w:rPr>
        <w:instrText>Autism Spectrum Disorder and Management: Anxiety</w:instrText>
      </w:r>
    </w:p>
    <w:p>
      <w:pPr>
        <w:numPr>
          <w:ilvl w:val="0"/>
          <w:numId w:val="1"/>
        </w:numPr>
        <w:bidi w:val="0"/>
        <w:spacing w:after="280" w:afterAutospacing="1"/>
        <w:rPr>
          <w:rtl w:val="0"/>
        </w:rPr>
      </w:pPr>
      <w:r>
        <w:rPr>
          <w:rtl w:val="0"/>
        </w:rPr>
        <w:instrText>Autism Spectrum Disorder and Management: Irritability</w:instrText>
      </w:r>
    </w:p>
    <w:p>
      <w:pPr>
        <w:bidi w:val="0"/>
        <w:spacing w:after="280" w:afterAutospacing="1"/>
        <w:rPr>
          <w:rtl w:val="0"/>
        </w:rPr>
      </w:pPr>
      <w:r>
        <w:rPr>
          <w:b w:val="0"/>
          <w:bCs w:val="0"/>
          <w:i w:val="0"/>
          <w:iCs w:val="0"/>
          <w:caps w:val="0"/>
          <w:strike w:val="0"/>
          <w:color w:val="000000"/>
          <w:spacing w:val="0"/>
          <w:u w:val="none"/>
          <w:rtl w:val="0"/>
        </w:rPr>
        <w:instrText>Disclaimer: Based on work that our clinic has conducted throughout the years, we have found that most behavioral challenges that patients with ASD have can most commonly be ascribed to one or more of these broad behavioral clusters: ADHD, anxiety, and irritability. Other challenging conditions, such as epilepsy in patients with ASD, are topics worth discussing. However, management of those conditions are beyond the expertise by the planners of this activity. As such, epilepsy will not be covered in any of the modules.</w:instrText>
      </w:r>
    </w:p>
    <w:p>
      <w:pPr>
        <w:bidi w:val="0"/>
        <w:spacing w:after="280" w:afterAutospacing="1"/>
        <w:rPr>
          <w:rtl w:val="0"/>
        </w:rPr>
      </w:pPr>
      <w:r>
        <w:rPr>
          <w:b w:val="0"/>
          <w:bCs w:val="0"/>
          <w:i w:val="0"/>
          <w:iCs w:val="0"/>
          <w:caps w:val="0"/>
          <w:strike w:val="0"/>
          <w:color w:val="000000"/>
          <w:spacing w:val="0"/>
          <w:u w:val="none"/>
          <w:rtl w:val="0"/>
        </w:rPr>
        <w:instrText>For more information about epilepsy and ASD, please see articles below:</w:instrText>
      </w:r>
    </w:p>
    <w:p>
      <w:pPr>
        <w:numPr>
          <w:ilvl w:val="0"/>
          <w:numId w:val="2"/>
        </w:numPr>
        <w:bidi w:val="0"/>
        <w:spacing w:after="280" w:afterAutospacing="1"/>
        <w:rPr>
          <w:rtl w:val="0"/>
        </w:rPr>
      </w:pPr>
      <w:r>
        <w:rPr>
          <w:b w:val="0"/>
          <w:bCs w:val="0"/>
          <w:i w:val="0"/>
          <w:iCs w:val="0"/>
          <w:caps w:val="0"/>
          <w:strike w:val="0"/>
          <w:color w:val="000000"/>
          <w:spacing w:val="0"/>
          <w:u w:val="none"/>
          <w:rtl w:val="0"/>
        </w:rPr>
        <w:instrText>Buckley AW, Holmes GL. Epilepsy and Autism. Cold Spring Harb Perspect Med. 2016 Apr 1;6(4):a022749. doi: 10.1101/cshperspect.a022749. PMID: 26989064; PMCID: PMC4817741</w:instrText>
      </w:r>
    </w:p>
    <w:p>
      <w:pPr>
        <w:numPr>
          <w:ilvl w:val="0"/>
          <w:numId w:val="2"/>
        </w:numPr>
        <w:bidi w:val="0"/>
        <w:spacing w:after="280" w:afterAutospacing="1"/>
        <w:rPr>
          <w:rtl w:val="0"/>
        </w:rPr>
      </w:pPr>
      <w:r>
        <w:rPr>
          <w:b w:val="0"/>
          <w:bCs w:val="0"/>
          <w:i w:val="0"/>
          <w:iCs w:val="0"/>
          <w:caps w:val="0"/>
          <w:strike w:val="0"/>
          <w:color w:val="000000"/>
          <w:spacing w:val="0"/>
          <w:u w:val="none"/>
          <w:rtl w:val="0"/>
        </w:rPr>
        <w:instrText>Liu, X., Sun, X., Sun, C., Zou, M., Chen, Y., Huang, J., Wu, L., &amp; Chen, W.-X. (2021). Prevalence of epilepsy in autism spectrum disorders: A systematic review and meta-analysis. </w:instrText>
      </w:r>
      <w:r>
        <w:rPr>
          <w:b w:val="0"/>
          <w:bCs w:val="0"/>
          <w:i w:val="0"/>
          <w:iCs w:val="0"/>
          <w:caps w:val="0"/>
          <w:strike w:val="0"/>
          <w:color w:val="000000"/>
          <w:spacing w:val="0"/>
          <w:u w:val="none"/>
          <w:rtl w:val="0"/>
        </w:rPr>
        <w:instrText>Autism</w:instrText>
      </w:r>
      <w:r>
        <w:rPr>
          <w:b w:val="0"/>
          <w:bCs w:val="0"/>
          <w:i w:val="0"/>
          <w:iCs w:val="0"/>
          <w:caps w:val="0"/>
          <w:strike w:val="0"/>
          <w:color w:val="000000"/>
          <w:spacing w:val="0"/>
          <w:u w:val="none"/>
          <w:rtl w:val="0"/>
        </w:rPr>
        <w:instrText>, </w:instrText>
      </w:r>
      <w:r>
        <w:rPr>
          <w:b w:val="0"/>
          <w:bCs w:val="0"/>
          <w:i w:val="0"/>
          <w:iCs w:val="0"/>
          <w:caps w:val="0"/>
          <w:strike w:val="0"/>
          <w:color w:val="000000"/>
          <w:spacing w:val="0"/>
          <w:u w:val="none"/>
          <w:rtl w:val="0"/>
        </w:rPr>
        <w:instrText>26</w:instrText>
      </w:r>
      <w:r>
        <w:rPr>
          <w:b w:val="0"/>
          <w:bCs w:val="0"/>
          <w:i w:val="0"/>
          <w:iCs w:val="0"/>
          <w:caps w:val="0"/>
          <w:strike w:val="0"/>
          <w:color w:val="000000"/>
          <w:spacing w:val="0"/>
          <w:u w:val="none"/>
          <w:rtl w:val="0"/>
        </w:rPr>
        <w:instrText>(1), 33-50. </w:instrText>
      </w:r>
      <w:r>
        <w:rPr>
          <w:b w:val="0"/>
          <w:bCs w:val="0"/>
          <w:i w:val="0"/>
          <w:iCs w:val="0"/>
          <w:caps w:val="0"/>
          <w:strike w:val="0"/>
          <w:color w:val="000000"/>
          <w:spacing w:val="0"/>
          <w:u w:val="none"/>
          <w:rtl w:val="0"/>
        </w:rPr>
        <w:instrText>https://doi.org/10.1177/13623613211045029</w:instrText>
      </w:r>
      <w:r>
        <w:rPr>
          <w:b w:val="0"/>
          <w:bCs w:val="0"/>
          <w:i w:val="0"/>
          <w:iCs w:val="0"/>
          <w:caps w:val="0"/>
          <w:strike w:val="0"/>
          <w:color w:val="000000"/>
          <w:spacing w:val="0"/>
          <w:u w:val="none"/>
          <w:rtl w:val="0"/>
        </w:rPr>
        <w:instrText> (Original work published 2022)</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w:instrText>
      </w:r>
    </w:p>
    <w:p>
      <w:pPr>
        <w:numPr>
          <w:ilvl w:val="0"/>
          <w:numId w:val="3"/>
        </w:numPr>
        <w:bidi w:val="0"/>
        <w:spacing w:after="280" w:afterAutospacing="1"/>
        <w:rPr>
          <w:rtl w:val="0"/>
        </w:rPr>
      </w:pPr>
      <w:r>
        <w:rPr>
          <w:rtl w:val="0"/>
        </w:rPr>
        <w:instrText>Management of Challenging Behaviors in Autism Spectrum Disorders: Evaluation and Screening</w:instrText>
      </w:r>
    </w:p>
    <w:p>
      <w:pPr>
        <w:numPr>
          <w:ilvl w:val="0"/>
          <w:numId w:val="3"/>
        </w:numPr>
        <w:bidi w:val="0"/>
        <w:spacing w:after="280" w:afterAutospacing="1"/>
        <w:rPr>
          <w:rtl w:val="0"/>
        </w:rPr>
      </w:pPr>
      <w:r>
        <w:rPr>
          <w:rtl w:val="0"/>
        </w:rPr>
        <w:instrText>Autism Spectrum Disorder and Management: ADHD</w:instrText>
      </w:r>
    </w:p>
    <w:p>
      <w:pPr>
        <w:numPr>
          <w:ilvl w:val="0"/>
          <w:numId w:val="3"/>
        </w:numPr>
        <w:bidi w:val="0"/>
        <w:spacing w:after="280" w:afterAutospacing="1"/>
        <w:rPr>
          <w:rtl w:val="0"/>
        </w:rPr>
      </w:pPr>
      <w:r>
        <w:rPr>
          <w:rtl w:val="0"/>
        </w:rPr>
        <w:instrText>Autism Spectrum Disorder and Management: Anxiety</w:instrText>
      </w:r>
    </w:p>
    <w:p>
      <w:pPr>
        <w:numPr>
          <w:ilvl w:val="0"/>
          <w:numId w:val="3"/>
        </w:numPr>
        <w:bidi w:val="0"/>
        <w:spacing w:after="280" w:afterAutospacing="1"/>
        <w:rPr>
          <w:rtl w:val="0"/>
        </w:rPr>
      </w:pPr>
      <w:r>
        <w:rPr>
          <w:rtl w:val="0"/>
        </w:rPr>
        <w:instrText>Autism Spectrum Disorder and Management: Irritability</w:instrText>
      </w:r>
    </w:p>
    <w:p>
      <w:pPr>
        <w:bidi w:val="0"/>
        <w:spacing w:after="280" w:afterAutospacing="1"/>
        <w:rPr>
          <w:rtl w:val="0"/>
        </w:rPr>
      </w:pPr>
      <w:r>
        <w:rPr>
          <w:b w:val="0"/>
          <w:bCs w:val="0"/>
          <w:i w:val="0"/>
          <w:iCs w:val="0"/>
          <w:caps w:val="0"/>
          <w:strike w:val="0"/>
          <w:color w:val="000000"/>
          <w:spacing w:val="0"/>
          <w:u w:val="none"/>
          <w:rtl w:val="0"/>
        </w:rPr>
        <w:instrText>Disclaimer: Based on work that our clinic has conducted throughout the years, we have found that most behavioral challenges that patients with ASD have can most commonly be ascribed to one or more of these broad behavioral clusters: ADHD, anxiety, and irritability. Other challenging conditions, such as epilepsy in patients with ASD, are topics worth discussing. However, management of those conditions are beyond the expertise by the planners of this activity. As such, epilepsy will not be covered in any of the modules.</w:instrText>
      </w:r>
    </w:p>
    <w:p>
      <w:pPr>
        <w:bidi w:val="0"/>
        <w:spacing w:after="280" w:afterAutospacing="1"/>
        <w:rPr>
          <w:rtl w:val="0"/>
        </w:rPr>
      </w:pPr>
      <w:r>
        <w:rPr>
          <w:b w:val="0"/>
          <w:bCs w:val="0"/>
          <w:i w:val="0"/>
          <w:iCs w:val="0"/>
          <w:caps w:val="0"/>
          <w:strike w:val="0"/>
          <w:color w:val="000000"/>
          <w:spacing w:val="0"/>
          <w:u w:val="none"/>
          <w:rtl w:val="0"/>
        </w:rPr>
        <w:instrText>For more information about epilepsy and ASD, please see articles below:</w:instrText>
      </w:r>
    </w:p>
    <w:p>
      <w:pPr>
        <w:numPr>
          <w:ilvl w:val="0"/>
          <w:numId w:val="4"/>
        </w:numPr>
        <w:bidi w:val="0"/>
        <w:spacing w:after="280" w:afterAutospacing="1"/>
        <w:rPr>
          <w:rtl w:val="0"/>
        </w:rPr>
      </w:pPr>
      <w:r>
        <w:rPr>
          <w:b w:val="0"/>
          <w:bCs w:val="0"/>
          <w:i w:val="0"/>
          <w:iCs w:val="0"/>
          <w:caps w:val="0"/>
          <w:strike w:val="0"/>
          <w:color w:val="000000"/>
          <w:spacing w:val="0"/>
          <w:u w:val="none"/>
          <w:rtl w:val="0"/>
        </w:rPr>
        <w:instrText>Buckley AW, Holmes GL. Epilepsy and Autism. Cold Spring Harb Perspect Med. 2016 Apr 1;6(4):a022749. doi: 10.1101/cshperspect.a022749. PMID: 26989064; PMCID: PMC4817741</w:instrText>
      </w:r>
    </w:p>
    <w:p>
      <w:pPr>
        <w:numPr>
          <w:ilvl w:val="0"/>
          <w:numId w:val="4"/>
        </w:numPr>
        <w:bidi w:val="0"/>
        <w:spacing w:after="280" w:afterAutospacing="1"/>
        <w:rPr>
          <w:rtl w:val="0"/>
        </w:rPr>
      </w:pPr>
      <w:r>
        <w:rPr>
          <w:b w:val="0"/>
          <w:bCs w:val="0"/>
          <w:i w:val="0"/>
          <w:iCs w:val="0"/>
          <w:caps w:val="0"/>
          <w:strike w:val="0"/>
          <w:color w:val="000000"/>
          <w:spacing w:val="0"/>
          <w:u w:val="none"/>
          <w:rtl w:val="0"/>
        </w:rPr>
        <w:instrText>Liu, X., Sun, X., Sun, C., Zou, M., Chen, Y., Huang, J., Wu, L., &amp; Chen, W.-X. (2021). Prevalence of epilepsy in autism spectrum disorders: A systematic review and meta-analysis. </w:instrText>
      </w:r>
      <w:r>
        <w:rPr>
          <w:b w:val="0"/>
          <w:bCs w:val="0"/>
          <w:i w:val="0"/>
          <w:iCs w:val="0"/>
          <w:caps w:val="0"/>
          <w:strike w:val="0"/>
          <w:color w:val="000000"/>
          <w:spacing w:val="0"/>
          <w:u w:val="none"/>
          <w:rtl w:val="0"/>
        </w:rPr>
        <w:instrText>Autism</w:instrText>
      </w:r>
      <w:r>
        <w:rPr>
          <w:b w:val="0"/>
          <w:bCs w:val="0"/>
          <w:i w:val="0"/>
          <w:iCs w:val="0"/>
          <w:caps w:val="0"/>
          <w:strike w:val="0"/>
          <w:color w:val="000000"/>
          <w:spacing w:val="0"/>
          <w:u w:val="none"/>
          <w:rtl w:val="0"/>
        </w:rPr>
        <w:instrText>, </w:instrText>
      </w:r>
      <w:r>
        <w:rPr>
          <w:b w:val="0"/>
          <w:bCs w:val="0"/>
          <w:i w:val="0"/>
          <w:iCs w:val="0"/>
          <w:caps w:val="0"/>
          <w:strike w:val="0"/>
          <w:color w:val="000000"/>
          <w:spacing w:val="0"/>
          <w:u w:val="none"/>
          <w:rtl w:val="0"/>
        </w:rPr>
        <w:instrText>26</w:instrText>
      </w:r>
      <w:r>
        <w:rPr>
          <w:b w:val="0"/>
          <w:bCs w:val="0"/>
          <w:i w:val="0"/>
          <w:iCs w:val="0"/>
          <w:caps w:val="0"/>
          <w:strike w:val="0"/>
          <w:color w:val="000000"/>
          <w:spacing w:val="0"/>
          <w:u w:val="none"/>
          <w:rtl w:val="0"/>
        </w:rPr>
        <w:instrText>(1), 33-50. </w:instrText>
      </w:r>
      <w:r>
        <w:rPr>
          <w:b w:val="0"/>
          <w:bCs w:val="0"/>
          <w:i w:val="0"/>
          <w:iCs w:val="0"/>
          <w:caps w:val="0"/>
          <w:strike w:val="0"/>
          <w:color w:val="000000"/>
          <w:spacing w:val="0"/>
          <w:u w:val="none"/>
          <w:rtl w:val="0"/>
        </w:rPr>
        <w:instrText>https://doi.org/10.1177/13623613211045029</w:instrText>
      </w:r>
      <w:r>
        <w:rPr>
          <w:b w:val="0"/>
          <w:bCs w:val="0"/>
          <w:i w:val="0"/>
          <w:iCs w:val="0"/>
          <w:caps w:val="0"/>
          <w:strike w:val="0"/>
          <w:color w:val="000000"/>
          <w:spacing w:val="0"/>
          <w:u w:val="none"/>
          <w:rtl w:val="0"/>
        </w:rPr>
        <w:instrText> (Original work published 2022)</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w:t>
      </w:r>
    </w:p>
    <w:p>
      <w:pPr>
        <w:numPr>
          <w:ilvl w:val="0"/>
          <w:numId w:val="3"/>
        </w:numPr>
        <w:bidi w:val="0"/>
        <w:spacing w:after="280" w:afterAutospacing="1"/>
        <w:rPr>
          <w:rtl w:val="0"/>
        </w:rPr>
      </w:pPr>
      <w:r>
        <w:rPr>
          <w:rtl w:val="0"/>
        </w:rPr>
        <w:t>Management of Challenging Behaviors in Autism Spectrum Disorders: Evaluation and Screening</w:t>
      </w:r>
    </w:p>
    <w:p>
      <w:pPr>
        <w:numPr>
          <w:ilvl w:val="0"/>
          <w:numId w:val="3"/>
        </w:numPr>
        <w:bidi w:val="0"/>
        <w:spacing w:after="280" w:afterAutospacing="1"/>
        <w:rPr>
          <w:rtl w:val="0"/>
        </w:rPr>
      </w:pPr>
      <w:r>
        <w:rPr>
          <w:rtl w:val="0"/>
        </w:rPr>
        <w:t>Autism Spectrum Disorder and Management: ADHD</w:t>
      </w:r>
    </w:p>
    <w:p>
      <w:pPr>
        <w:numPr>
          <w:ilvl w:val="0"/>
          <w:numId w:val="3"/>
        </w:numPr>
        <w:bidi w:val="0"/>
        <w:spacing w:after="280" w:afterAutospacing="1"/>
        <w:rPr>
          <w:rtl w:val="0"/>
        </w:rPr>
      </w:pPr>
      <w:r>
        <w:rPr>
          <w:rtl w:val="0"/>
        </w:rPr>
        <w:t>Autism Spectrum Disorder and Management: Anxiety</w:t>
      </w:r>
    </w:p>
    <w:p>
      <w:pPr>
        <w:numPr>
          <w:ilvl w:val="0"/>
          <w:numId w:val="3"/>
        </w:numPr>
        <w:bidi w:val="0"/>
        <w:spacing w:after="280" w:afterAutospacing="1"/>
        <w:rPr>
          <w:rtl w:val="0"/>
        </w:rPr>
      </w:pPr>
      <w:r>
        <w:rPr>
          <w:rtl w:val="0"/>
        </w:rPr>
        <w:t>Autism Spectrum Disorder and Management: Irritability</w:t>
      </w:r>
    </w:p>
    <w:p>
      <w:pPr>
        <w:bidi w:val="0"/>
        <w:spacing w:after="280" w:afterAutospacing="1"/>
        <w:rPr>
          <w:rtl w:val="0"/>
        </w:rPr>
      </w:pPr>
      <w:r>
        <w:rPr>
          <w:b w:val="0"/>
          <w:bCs w:val="0"/>
          <w:i w:val="0"/>
          <w:iCs w:val="0"/>
          <w:caps w:val="0"/>
          <w:strike w:val="0"/>
          <w:color w:val="000000"/>
          <w:spacing w:val="0"/>
          <w:u w:val="none"/>
          <w:rtl w:val="0"/>
        </w:rPr>
        <w:t>Disclaimer: Based on work that our clinic has conducted throughout the years, we have found that most behavioral challenges that patients with ASD have can most commonly be ascribed to one or more of these broad behavioral clusters: ADHD, anxiety, and irritability. Other challenging conditions, such as epilepsy in patients with ASD, are topics worth discussing. However, management of those conditions are beyond the expertise by the planners of this activity. As such, epilepsy will not be covered in any of the modules.</w:t>
      </w:r>
    </w:p>
    <w:p>
      <w:pPr>
        <w:bidi w:val="0"/>
        <w:spacing w:after="280" w:afterAutospacing="1"/>
        <w:rPr>
          <w:rtl w:val="0"/>
        </w:rPr>
      </w:pPr>
      <w:r>
        <w:rPr>
          <w:b w:val="0"/>
          <w:bCs w:val="0"/>
          <w:i w:val="0"/>
          <w:iCs w:val="0"/>
          <w:caps w:val="0"/>
          <w:strike w:val="0"/>
          <w:color w:val="000000"/>
          <w:spacing w:val="0"/>
          <w:u w:val="none"/>
          <w:rtl w:val="0"/>
        </w:rPr>
        <w:t>For more information about epilepsy and ASD, please see articles below:</w:t>
      </w:r>
    </w:p>
    <w:p>
      <w:pPr>
        <w:numPr>
          <w:ilvl w:val="0"/>
          <w:numId w:val="4"/>
        </w:numPr>
        <w:bidi w:val="0"/>
        <w:spacing w:after="280" w:afterAutospacing="1"/>
        <w:rPr>
          <w:rtl w:val="0"/>
        </w:rPr>
      </w:pPr>
      <w:r>
        <w:rPr>
          <w:b w:val="0"/>
          <w:bCs w:val="0"/>
          <w:i w:val="0"/>
          <w:iCs w:val="0"/>
          <w:caps w:val="0"/>
          <w:strike w:val="0"/>
          <w:color w:val="000000"/>
          <w:spacing w:val="0"/>
          <w:u w:val="none"/>
          <w:rtl w:val="0"/>
        </w:rPr>
        <w:t>Buckley AW, Holmes GL. Epilepsy and Autism. Cold Spring Harb Perspect Med. 2016 Apr 1;6(4):a022749. doi: 10.1101/cshperspect.a022749. PMID: 26989064; PMCID: PMC4817741</w:t>
      </w:r>
    </w:p>
    <w:p>
      <w:pPr>
        <w:numPr>
          <w:ilvl w:val="0"/>
          <w:numId w:val="4"/>
        </w:numPr>
        <w:bidi w:val="0"/>
        <w:spacing w:after="280" w:afterAutospacing="1"/>
        <w:rPr>
          <w:rtl w:val="0"/>
        </w:rPr>
      </w:pPr>
      <w:r>
        <w:rPr>
          <w:b w:val="0"/>
          <w:bCs w:val="0"/>
          <w:i w:val="0"/>
          <w:iCs w:val="0"/>
          <w:caps w:val="0"/>
          <w:strike w:val="0"/>
          <w:color w:val="000000"/>
          <w:spacing w:val="0"/>
          <w:u w:val="none"/>
          <w:rtl w:val="0"/>
        </w:rPr>
        <w:t>Liu, X., Sun, X., Sun, C., Zou, M., Chen, Y., Huang, J., Wu, L., &amp; Chen, W.-X. (2021). Prevalence of epilepsy in autism spectrum disorders: A systematic review and meta-analysis. </w:t>
      </w:r>
      <w:r>
        <w:rPr>
          <w:b w:val="0"/>
          <w:bCs w:val="0"/>
          <w:i w:val="0"/>
          <w:iCs w:val="0"/>
          <w:caps w:val="0"/>
          <w:strike w:val="0"/>
          <w:color w:val="000000"/>
          <w:spacing w:val="0"/>
          <w:u w:val="none"/>
          <w:rtl w:val="0"/>
        </w:rPr>
        <w:t>Autism</w:t>
      </w:r>
      <w:r>
        <w:rPr>
          <w:b w:val="0"/>
          <w:bCs w:val="0"/>
          <w:i w:val="0"/>
          <w:iCs w:val="0"/>
          <w:caps w:val="0"/>
          <w:strike w:val="0"/>
          <w:color w:val="000000"/>
          <w:spacing w:val="0"/>
          <w:u w:val="none"/>
          <w:rtl w:val="0"/>
        </w:rPr>
        <w:t>, </w:t>
      </w:r>
      <w:r>
        <w:rPr>
          <w:b w:val="0"/>
          <w:bCs w:val="0"/>
          <w:i w:val="0"/>
          <w:iCs w:val="0"/>
          <w:caps w:val="0"/>
          <w:strike w:val="0"/>
          <w:color w:val="000000"/>
          <w:spacing w:val="0"/>
          <w:u w:val="none"/>
          <w:rtl w:val="0"/>
        </w:rPr>
        <w:t>26</w:t>
      </w:r>
      <w:r>
        <w:rPr>
          <w:b w:val="0"/>
          <w:bCs w:val="0"/>
          <w:i w:val="0"/>
          <w:iCs w:val="0"/>
          <w:caps w:val="0"/>
          <w:strike w:val="0"/>
          <w:color w:val="000000"/>
          <w:spacing w:val="0"/>
          <w:u w:val="none"/>
          <w:rtl w:val="0"/>
        </w:rPr>
        <w:t>(1), 33-50. </w:t>
      </w:r>
      <w:r>
        <w:rPr>
          <w:b w:val="0"/>
          <w:bCs w:val="0"/>
          <w:i w:val="0"/>
          <w:iCs w:val="0"/>
          <w:caps w:val="0"/>
          <w:strike w:val="0"/>
          <w:color w:val="000000"/>
          <w:spacing w:val="0"/>
          <w:u w:val="none"/>
          <w:rtl w:val="0"/>
        </w:rPr>
        <w:t>https://doi.org/10.1177/13623613211045029</w:t>
      </w:r>
      <w:r>
        <w:rPr>
          <w:b w:val="0"/>
          <w:bCs w:val="0"/>
          <w:i w:val="0"/>
          <w:iCs w:val="0"/>
          <w:caps w:val="0"/>
          <w:strike w:val="0"/>
          <w:color w:val="000000"/>
          <w:spacing w:val="0"/>
          <w:u w:val="none"/>
          <w:rtl w:val="0"/>
        </w:rPr>
        <w:t> (Original work published 2022)</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Pediatrics, Behavioral And Developmental Pediatrics</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Pediatrics, Behavioral And Developmental Pediatrics</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Pediatrics, Behavioral And Developmental Pediatrics</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clinical approach to a patient with autism spectrum disorder (ASD) and irritabilityDescribe the approach to a patient with autism spectrum disorder (ASD) presenting with difficult or challenging behaviors</w:instrText>
      </w:r>
    </w:p>
    <w:p w:rsidR="00467105" w:rsidP="0042796F">
      <w:pPr>
        <w:spacing w:after="0" w:line="240" w:lineRule="auto"/>
        <w:contextualSpacing/>
        <w:rPr>
          <w:sz w:val="20"/>
          <w:szCs w:val="20"/>
        </w:rPr>
      </w:pPr>
      <w:r>
        <w:rPr>
          <w:sz w:val="20"/>
          <w:szCs w:val="20"/>
        </w:rPr>
        <w:instrText>2 List methods useful in screening for behavioral conditions in ASD</w:instrText>
      </w:r>
    </w:p>
    <w:p w:rsidR="00467105" w:rsidP="0042796F">
      <w:pPr>
        <w:spacing w:after="0" w:line="240" w:lineRule="auto"/>
        <w:contextualSpacing/>
        <w:rPr>
          <w:sz w:val="20"/>
          <w:szCs w:val="20"/>
        </w:rPr>
      </w:pPr>
      <w:r>
        <w:rPr>
          <w:sz w:val="20"/>
          <w:szCs w:val="20"/>
        </w:rPr>
        <w:instrText>3 Explain the challenges of using behavioral medications for patients with ASD</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clinical approach to a patient with autism spectrum disorder (ASD) and irritabilityDescribe the approach to a patient with autism spectrum disorder (ASD) presenting with difficult or challenging behaviors</w:instrText>
      </w:r>
    </w:p>
    <w:p w:rsidP="0042796F">
      <w:pPr>
        <w:spacing w:after="0" w:line="240" w:lineRule="auto"/>
        <w:contextualSpacing/>
        <w:rPr>
          <w:sz w:val="24"/>
          <w:szCs w:val="24"/>
        </w:rPr>
      </w:pPr>
      <w:r>
        <w:rPr>
          <w:sz w:val="24"/>
          <w:szCs w:val="24"/>
        </w:rPr>
        <w:instrText>2 List methods useful in screening for behavioral conditions in ASD</w:instrText>
      </w:r>
    </w:p>
    <w:p w:rsidP="0042796F">
      <w:pPr>
        <w:spacing w:after="0" w:line="240" w:lineRule="auto"/>
        <w:contextualSpacing/>
        <w:rPr>
          <w:sz w:val="24"/>
          <w:szCs w:val="24"/>
        </w:rPr>
      </w:pPr>
      <w:r>
        <w:rPr>
          <w:sz w:val="24"/>
          <w:szCs w:val="24"/>
        </w:rPr>
        <w:instrText>3 Explain the challenges of using behavioral medications for patients with ASD</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clinical approach to a patient with autism spectrum disorder (ASD) and irritabilityDescribe the approach to a patient with autism spectrum disorder (ASD) presenting with difficult or challenging behaviors</w:t>
      </w:r>
    </w:p>
    <w:p w:rsidP="0042796F">
      <w:pPr>
        <w:spacing w:after="0" w:line="240" w:lineRule="auto"/>
        <w:contextualSpacing/>
        <w:rPr>
          <w:sz w:val="24"/>
          <w:szCs w:val="24"/>
        </w:rPr>
      </w:pPr>
      <w:r>
        <w:rPr>
          <w:sz w:val="24"/>
          <w:szCs w:val="24"/>
        </w:rPr>
        <w:t>2 List methods useful in screening for behavioral conditions in ASD</w:t>
      </w:r>
    </w:p>
    <w:p w:rsidR="00467105" w:rsidP="0042796F">
      <w:pPr>
        <w:spacing w:after="0" w:line="240" w:lineRule="auto"/>
        <w:contextualSpacing/>
        <w:rPr>
          <w:sz w:val="20"/>
          <w:szCs w:val="20"/>
        </w:rPr>
      </w:pPr>
      <w:r>
        <w:rPr>
          <w:sz w:val="24"/>
          <w:szCs w:val="24"/>
        </w:rPr>
        <w:t>3 Explain the challenges of using behavioral medications for patients with ASD</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Chung,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Advisor-Cell El Therapeutics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Elyse Schoenwald, CRNP, CPNP-PC, PMHS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