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Stroke Part 1: Right Care Heart Attack &amp; Stroke Prevention (10.25.22): Implementation of Mobile Stroke Units and Stroke Awareness Promotion in the Population.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Stroke Part 1: Right Care Heart Attack &amp; Stroke Prevention (10.25.22): Implementation of Mobile Stroke Units and Stroke Awareness Promotion in the Population.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February 27, 2024</w:t>
      </w:r>
      <w:r>
        <w:rPr>
          <w:sz w:val="24"/>
          <w:szCs w:val="24"/>
        </w:rPr>
        <w:fldChar w:fldCharType="begin"/>
      </w:r>
      <w:r>
        <w:rPr>
          <w:sz w:val="24"/>
          <w:szCs w:val="24"/>
        </w:rPr>
        <w:instrText xml:space="preserve"> IF </w:instrText>
      </w:r>
      <w:r>
        <w:rPr>
          <w:sz w:val="24"/>
          <w:szCs w:val="24"/>
        </w:rPr>
        <w:instrText>"</w:instrText>
      </w:r>
      <w:r>
        <w:rPr>
          <w:sz w:val="24"/>
          <w:szCs w:val="24"/>
        </w:rPr>
        <w:instrText>2 27 2024</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A presentation of innovation in stroke treatment using a mobile stroke unit. Personal stories from two stroke survivors. A presentation of how the Stroke Awareness Foundation is using strategies for promoting stroke awareness in the population to improve health equity. Some question-and-answer periods examining the logistics and costs associated with mobile stroke units. The live lecture for this recording occurred October 25, 2022.</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Appreciate the patient perspective of experiencing a stroke.</w:instrText>
      </w:r>
    </w:p>
    <w:p w:rsidR="00467105" w:rsidP="0042796F">
      <w:pPr>
        <w:spacing w:after="0" w:line="240" w:lineRule="auto"/>
        <w:contextualSpacing/>
        <w:rPr>
          <w:sz w:val="20"/>
          <w:szCs w:val="20"/>
        </w:rPr>
      </w:pPr>
      <w:r>
        <w:rPr>
          <w:sz w:val="20"/>
          <w:szCs w:val="20"/>
        </w:rPr>
        <w:instrText>2 Examine how stroke care and health equity can be improved through community outreach done in culturally aware ways.</w:instrText>
      </w:r>
    </w:p>
    <w:p w:rsidR="00467105" w:rsidP="0042796F">
      <w:pPr>
        <w:spacing w:after="0" w:line="240" w:lineRule="auto"/>
        <w:contextualSpacing/>
        <w:rPr>
          <w:sz w:val="20"/>
          <w:szCs w:val="20"/>
        </w:rPr>
      </w:pPr>
      <w:r>
        <w:rPr>
          <w:sz w:val="20"/>
          <w:szCs w:val="20"/>
        </w:rPr>
        <w:instrText>3 Recognize the importance of early identification of stroke and implementation of care.</w:instrText>
      </w:r>
    </w:p>
    <w:p w:rsidR="00467105" w:rsidP="0042796F">
      <w:pPr>
        <w:spacing w:after="0" w:line="240" w:lineRule="auto"/>
        <w:contextualSpacing/>
        <w:rPr>
          <w:sz w:val="20"/>
          <w:szCs w:val="20"/>
        </w:rPr>
      </w:pPr>
      <w:r>
        <w:rPr>
          <w:sz w:val="20"/>
          <w:szCs w:val="20"/>
        </w:rPr>
        <w:instrText>4 Understand what comprises a mobile stroke unit and how it can be used to improve patient outcomes and the importance of legislation and advocacy.</w:instrText>
      </w:r>
    </w:p>
    <w:p w:rsidR="00467105" w:rsidP="0042796F">
      <w:pPr>
        <w:spacing w:after="0" w:line="240" w:lineRule="auto"/>
        <w:contextualSpacing/>
        <w:rPr>
          <w:sz w:val="20"/>
          <w:szCs w:val="20"/>
        </w:rPr>
      </w:pPr>
      <w:r>
        <w:rPr>
          <w:sz w:val="20"/>
          <w:szCs w:val="20"/>
        </w:rPr>
        <w:instrText>5 Have a basic understanding of the logistics and processes involved in the deployment of mobile stroke units by emergency medical services.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Appreciate the patient perspective of experiencing a stroke.</w:instrText>
      </w:r>
    </w:p>
    <w:p w:rsidP="0042796F">
      <w:pPr>
        <w:spacing w:after="0" w:line="240" w:lineRule="auto"/>
        <w:contextualSpacing/>
        <w:rPr>
          <w:sz w:val="24"/>
          <w:szCs w:val="24"/>
        </w:rPr>
      </w:pPr>
      <w:r>
        <w:rPr>
          <w:sz w:val="24"/>
          <w:szCs w:val="24"/>
        </w:rPr>
        <w:instrText>2 Examine how stroke care and health equity can be improved through community outreach done in culturally aware ways.</w:instrText>
      </w:r>
    </w:p>
    <w:p w:rsidP="0042796F">
      <w:pPr>
        <w:spacing w:after="0" w:line="240" w:lineRule="auto"/>
        <w:contextualSpacing/>
        <w:rPr>
          <w:sz w:val="24"/>
          <w:szCs w:val="24"/>
        </w:rPr>
      </w:pPr>
      <w:r>
        <w:rPr>
          <w:sz w:val="24"/>
          <w:szCs w:val="24"/>
        </w:rPr>
        <w:instrText>3 Recognize the importance of early identification of stroke and implementation of care.</w:instrText>
      </w:r>
    </w:p>
    <w:p w:rsidP="0042796F">
      <w:pPr>
        <w:spacing w:after="0" w:line="240" w:lineRule="auto"/>
        <w:contextualSpacing/>
        <w:rPr>
          <w:sz w:val="24"/>
          <w:szCs w:val="24"/>
        </w:rPr>
      </w:pPr>
      <w:r>
        <w:rPr>
          <w:sz w:val="24"/>
          <w:szCs w:val="24"/>
        </w:rPr>
        <w:instrText>4 Understand what comprises a mobile stroke unit and how it can be used to improve patient outcomes and the importance of legislation and advocacy.</w:instrText>
      </w:r>
    </w:p>
    <w:p w:rsidP="0042796F">
      <w:pPr>
        <w:spacing w:after="0" w:line="240" w:lineRule="auto"/>
        <w:contextualSpacing/>
        <w:rPr>
          <w:sz w:val="24"/>
          <w:szCs w:val="24"/>
        </w:rPr>
      </w:pPr>
      <w:r>
        <w:rPr>
          <w:sz w:val="24"/>
          <w:szCs w:val="24"/>
        </w:rPr>
        <w:instrText>5 Have a basic understanding of the logistics and processes involved in the deployment of mobile stroke units by emergency medical services.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Appreciate the patient perspective of experiencing a stroke.</w:t>
      </w:r>
    </w:p>
    <w:p w:rsidP="0042796F">
      <w:pPr>
        <w:spacing w:after="0" w:line="240" w:lineRule="auto"/>
        <w:contextualSpacing/>
        <w:rPr>
          <w:sz w:val="24"/>
          <w:szCs w:val="24"/>
        </w:rPr>
      </w:pPr>
      <w:r>
        <w:rPr>
          <w:sz w:val="24"/>
          <w:szCs w:val="24"/>
        </w:rPr>
        <w:t>2 Examine how stroke care and health equity can be improved through community outreach done in culturally aware ways.</w:t>
      </w:r>
    </w:p>
    <w:p w:rsidP="0042796F">
      <w:pPr>
        <w:spacing w:after="0" w:line="240" w:lineRule="auto"/>
        <w:contextualSpacing/>
        <w:rPr>
          <w:sz w:val="24"/>
          <w:szCs w:val="24"/>
        </w:rPr>
      </w:pPr>
      <w:r>
        <w:rPr>
          <w:sz w:val="24"/>
          <w:szCs w:val="24"/>
        </w:rPr>
        <w:t>3 Recognize the importance of early identification of stroke and implementation of care.</w:t>
      </w:r>
    </w:p>
    <w:p w:rsidP="0042796F">
      <w:pPr>
        <w:spacing w:after="0" w:line="240" w:lineRule="auto"/>
        <w:contextualSpacing/>
        <w:rPr>
          <w:sz w:val="24"/>
          <w:szCs w:val="24"/>
        </w:rPr>
      </w:pPr>
      <w:r>
        <w:rPr>
          <w:sz w:val="24"/>
          <w:szCs w:val="24"/>
        </w:rPr>
        <w:t>4 Understand what comprises a mobile stroke unit and how it can be used to improve patient outcomes and the importance of legislation and advocacy.</w:t>
      </w:r>
    </w:p>
    <w:p w:rsidR="00467105" w:rsidP="0042796F">
      <w:pPr>
        <w:spacing w:after="0" w:line="240" w:lineRule="auto"/>
        <w:contextualSpacing/>
        <w:rPr>
          <w:sz w:val="20"/>
          <w:szCs w:val="20"/>
        </w:rPr>
      </w:pPr>
      <w:r>
        <w:rPr>
          <w:sz w:val="24"/>
          <w:szCs w:val="24"/>
        </w:rPr>
        <w:t>5 Have a basic understanding of the logistics and processes involved in the deployment of mobile stroke units by emergency medical services.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1.50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1.50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1.50</w:instrText>
      </w:r>
      <w:r w:rsidR="00092945">
        <w:rPr>
          <w:sz w:val="24"/>
          <w:szCs w:val="24"/>
        </w:rPr>
        <w:instrText xml:space="preserve"> &gt; 0 "</w:instrText>
      </w:r>
      <w:r w:rsidR="00092945">
        <w:rPr>
          <w:sz w:val="24"/>
          <w:szCs w:val="24"/>
        </w:rPr>
        <w:instrText>1.50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1.50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630294699"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1.50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035743615"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1.50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Fee-Ionis Pharmaceuticals|Grant or research support-Novo Nordisk (Any division)|Grant or research support-Lilly (Any division) - 07/25/2023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Moderator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Ilana Spokoyny,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 Madduluri,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Noemi Conway,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Gregory Gilbert, MD, FAEMS, FAAEM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Chuck Toeniskoetter, MBA, Founder, Stroke Awareness Foundation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Nirali Vora,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Moderator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