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254: Countertransference and Transference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254: Countertransference and Transference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22, 2026</w:t>
      </w:r>
      <w:r>
        <w:rPr>
          <w:sz w:val="24"/>
          <w:szCs w:val="24"/>
        </w:rPr>
        <w:fldChar w:fldCharType="begin"/>
      </w:r>
      <w:r>
        <w:rPr>
          <w:sz w:val="24"/>
          <w:szCs w:val="24"/>
        </w:rPr>
        <w:instrText xml:space="preserve"> IF </w:instrText>
      </w:r>
      <w:r>
        <w:rPr>
          <w:sz w:val="24"/>
          <w:szCs w:val="24"/>
        </w:rPr>
        <w:instrText>"</w:instrText>
      </w:r>
      <w:r>
        <w:rPr>
          <w:sz w:val="24"/>
          <w:szCs w:val="24"/>
        </w:rPr>
        <w:instrText>1 22 2026</w:instrText>
      </w:r>
      <w:r>
        <w:rPr>
          <w:sz w:val="24"/>
          <w:szCs w:val="24"/>
        </w:rPr>
        <w:instrText>"</w:instrText>
      </w:r>
      <w:r>
        <w:rPr>
          <w:sz w:val="24"/>
          <w:szCs w:val="24"/>
        </w:rPr>
        <w:instrText xml:space="preserve"> &lt;&gt; </w:instrText>
      </w:r>
      <w:r>
        <w:rPr>
          <w:sz w:val="24"/>
          <w:szCs w:val="24"/>
        </w:rPr>
        <w:instrText>"</w:instrText>
      </w:r>
      <w:r>
        <w:rPr>
          <w:sz w:val="24"/>
          <w:szCs w:val="24"/>
        </w:rPr>
        <w:instrText>8 5 2026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August 5, 2026</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August 5, 2026</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discuss how metabolism and lifestyle impact mental health, drawing on his extensive background in psychiatry, leadership, and advocacy.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discuss how metabolism and lifestyle impact mental health, drawing on his extensive background in psychiatry, leadership, and advocacy.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psychodynamic concepts of transference and countertransference—including acute and chronic forms—and analyze how they shape therapist responses, treatment dynamics, and supervision discussions.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Identify ethical risks and boundary violations in psychotherapy, particularly those involving erotic or romantic transference/countertransference, and evaluate appropriate supervisory guidance, documentation practices, and professional responsibilities.</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Apply psychodynamic formulation to nuanced clinical interactions and develop strategies for exploring these phenomena while maintaining therapeutic neutrality and safety.</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psychodynamic concepts of transference and countertransference—including acute and chronic forms—and analyze how they shape therapist responses, treatment dynamics, and supervision discussions.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Identify ethical risks and boundary violations in psychotherapy, particularly those involving erotic or romantic transference/countertransference, and evaluate appropriate supervisory guidance, documentation practices, and professional responsibilities.</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Apply psychodynamic formulation to nuanced clinical interactions and develop strategies for exploring these phenomena while maintaining therapeutic neutrality and safety.</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psychodynamic concepts of transference and countertransference—including acute and chronic forms—and analyze how they shape therapist responses, treatment dynamics, and supervision discussions.</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Identify ethical risks and boundary violations in psychotherapy, particularly those involving erotic or romantic transference/countertransference, and evaluate appropriate supervisory guidance, documentation practices, and professional responsibilities.</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3 Apply psychodynamic formulation to nuanced clinical interactions and develop strategies for exploring these phenomena while maintaining therapeutic neutrality and safety.</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Frank Yeomans,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