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Episode 255: Disavowed Anger and Positive Emotions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Episode 255: Disavowed Anger and Positive Emotions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February 2, 2026</w:t>
      </w:r>
      <w:r>
        <w:rPr>
          <w:sz w:val="24"/>
          <w:szCs w:val="24"/>
        </w:rPr>
        <w:fldChar w:fldCharType="begin"/>
      </w:r>
      <w:r>
        <w:rPr>
          <w:sz w:val="24"/>
          <w:szCs w:val="24"/>
        </w:rPr>
        <w:instrText xml:space="preserve"> IF </w:instrText>
      </w:r>
      <w:r>
        <w:rPr>
          <w:sz w:val="24"/>
          <w:szCs w:val="24"/>
        </w:rPr>
        <w:instrText>"</w:instrText>
      </w:r>
      <w:r>
        <w:rPr>
          <w:sz w:val="24"/>
          <w:szCs w:val="24"/>
        </w:rPr>
        <w:instrText>2 2 2026</w:instrText>
      </w:r>
      <w:r>
        <w:rPr>
          <w:sz w:val="24"/>
          <w:szCs w:val="24"/>
        </w:rPr>
        <w:instrText>"</w:instrText>
      </w:r>
      <w:r>
        <w:rPr>
          <w:sz w:val="24"/>
          <w:szCs w:val="24"/>
        </w:rPr>
        <w:instrText xml:space="preserve"> &lt;&gt; </w:instrText>
      </w:r>
      <w:r>
        <w:rPr>
          <w:sz w:val="24"/>
          <w:szCs w:val="24"/>
        </w:rPr>
        <w:instrText>"</w:instrText>
      </w:r>
      <w:r>
        <w:rPr>
          <w:sz w:val="24"/>
          <w:szCs w:val="24"/>
        </w:rPr>
        <w:instrText>2 1 2029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adaptive and relational functions of anger across development and clinical contexts and distinguish these functions from pathological expressions of aggression or affect dysregulation.</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Identify how early preverbal relational experiences influence the integration or disavowal of anger and other affects, with particular attention to nonverbal attunement, caregiver perceptions, implicit learning, and their downstream effects on attachment patterns, shame, and interpersonal functioning in adult patients.</w:instrText>
      </w:r>
    </w:p>
    <w:p w:rsidR="00467105" w:rsidP="0042796F">
      <w:pPr>
        <w:spacing w:after="0" w:line="240" w:lineRule="auto"/>
        <w:contextualSpacing/>
        <w:rPr>
          <w:sz w:val="20"/>
          <w:szCs w:val="20"/>
        </w:rPr>
      </w:pPr>
      <w:r>
        <w:rPr>
          <w:sz w:val="20"/>
          <w:szCs w:val="20"/>
        </w:rPr>
        <w:instrText>3 Demonstrate psychotherapeutic strategies for engaging patient anger in a clinically effective and ethically grounded manner, including recognizing countertransference responses, avoiding overly idealized or moral-masochistic therapeutic stances, setting and maintaining appropriate boundaries, and utilizing experiential engagement as a potential corrective emotional experience.</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adaptive and relational functions of anger across development and clinical contexts and distinguish these functions from pathological expressions of aggression or affect dysregulation.</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Identify how early preverbal relational experiences influence the integration or disavowal of anger and other affects, with particular attention to nonverbal attunement, caregiver perceptions, implicit learning, and their downstream effects on attachment patterns, shame, and interpersonal functioning in adult patients.</w:instrText>
      </w:r>
    </w:p>
    <w:p w:rsidP="0042796F">
      <w:pPr>
        <w:spacing w:after="0" w:line="240" w:lineRule="auto"/>
        <w:contextualSpacing/>
        <w:rPr>
          <w:sz w:val="24"/>
          <w:szCs w:val="24"/>
        </w:rPr>
      </w:pPr>
      <w:r>
        <w:rPr>
          <w:sz w:val="24"/>
          <w:szCs w:val="24"/>
        </w:rPr>
        <w:instrText>3 Demonstrate psychotherapeutic strategies for engaging patient anger in a clinically effective and ethically grounded manner, including recognizing countertransference responses, avoiding overly idealized or moral-masochistic therapeutic stances, setting and maintaining appropriate boundaries, and utilizing experiential engagement as a potential corrective emotional experience.</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adaptive and relational functions of anger across development and clinical contexts and distinguish these functions from pathological expressions of aggression or affect dysregulation.</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Identify how early preverbal relational experiences influence the integration or disavowal of anger and other affects, with particular attention to nonverbal attunement, caregiver perceptions, implicit learning, and their downstream effects on attachment patterns, shame, and interpersonal functioning in adult patients.</w:t>
      </w:r>
    </w:p>
    <w:p w:rsidR="00467105" w:rsidP="0042796F">
      <w:pPr>
        <w:spacing w:after="0" w:line="240" w:lineRule="auto"/>
        <w:contextualSpacing/>
        <w:rPr>
          <w:sz w:val="20"/>
          <w:szCs w:val="20"/>
        </w:rPr>
      </w:pPr>
      <w:r>
        <w:rPr>
          <w:sz w:val="24"/>
          <w:szCs w:val="24"/>
        </w:rPr>
        <w:t>3 Demonstrate psychotherapeutic strategies for engaging patient anger in a clinically effective and ethically grounded manner, including recognizing countertransference responses, avoiding overly idealized or moral-masochistic therapeutic stances, setting and maintaining appropriate boundaries, and utilizing experiential engagement as a potential corrective emotional experience.</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Wachtel,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