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Hypertension Guidelines Update (2.9.26)</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Hypertension Guidelines Update (2.9.26)</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March 12, 2026</w:t>
      </w:r>
      <w:r>
        <w:rPr>
          <w:sz w:val="24"/>
          <w:szCs w:val="24"/>
        </w:rPr>
        <w:fldChar w:fldCharType="begin"/>
      </w:r>
      <w:r>
        <w:rPr>
          <w:sz w:val="24"/>
          <w:szCs w:val="24"/>
        </w:rPr>
        <w:instrText xml:space="preserve"> IF </w:instrText>
      </w:r>
      <w:r>
        <w:rPr>
          <w:sz w:val="24"/>
          <w:szCs w:val="24"/>
        </w:rPr>
        <w:instrText>"</w:instrText>
      </w:r>
      <w:r>
        <w:rPr>
          <w:sz w:val="24"/>
          <w:szCs w:val="24"/>
        </w:rPr>
        <w:instrText>3 12 2026</w:instrText>
      </w:r>
      <w:r>
        <w:rPr>
          <w:sz w:val="24"/>
          <w:szCs w:val="24"/>
        </w:rPr>
        <w:instrText>"</w:instrText>
      </w:r>
      <w:r>
        <w:rPr>
          <w:sz w:val="24"/>
          <w:szCs w:val="24"/>
        </w:rPr>
        <w:instrText xml:space="preserve"> &lt;&gt; </w:instrText>
      </w:r>
      <w:r>
        <w:rPr>
          <w:sz w:val="24"/>
          <w:szCs w:val="24"/>
        </w:rPr>
        <w:instrText>"</w:instrText>
      </w:r>
      <w:r>
        <w:rPr>
          <w:sz w:val="24"/>
          <w:szCs w:val="24"/>
        </w:rPr>
        <w:instrText>2 27 2027</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February 27, 2027</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February 27, 2027</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This lecture provides a comprehensive update on managing high blood pressure, the most prevalent and modifiable risk factor for cardiovascular disease. Participants will explore the critical goal of maintaining blood pressure below 130/80 mm Hg to manage hypertension among U.S. adults. A key focus includes implementing the 2025 ACC/AHA guidelines, specifically transitioning from the Pooled Cohort Equation to the new PREVENT Equation for calculating 10-year risk. By the end of the module, learners will understand how to integrate personalized lifestyle modifications with pharmacological interventions to achieve effective risk reduction. The live lecture for this recording took place February 9, 2026.</w:instrText>
      </w:r>
      <w:r>
        <w:rPr>
          <w:rFonts w:ascii="Arial" w:eastAsia="Arial" w:hAnsi="Arial" w:cs="Arial"/>
          <w:b w:val="0"/>
          <w:bCs w:val="0"/>
          <w:i w:val="0"/>
          <w:iCs w:val="0"/>
          <w:caps w:val="0"/>
          <w:color w:val="000000"/>
          <w:spacing w:val="0"/>
          <w:sz w:val="24"/>
          <w:szCs w:val="24"/>
          <w:rtl w:val="0"/>
        </w:rPr>
        <w:instrText> </w:instrText>
      </w:r>
      <w:r>
        <w:rPr>
          <w:rtl w:val="0"/>
        </w:rPr>
        <w:instrText xml:space="preserve"> </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tl w:val="0"/>
        </w:rPr>
        <w:instrText>This lecture provides a comprehensive update on managing high blood pressure, the most prevalent and modifiable risk factor for cardiovascular disease. Participants will explore the critical goal of maintaining blood pressure below 130/80 mm Hg to manage hypertension among U.S. adults. A key focus includes implementing the 2025 ACC/AHA guidelines, specifically transitioning from the Pooled Cohort Equation to the new PREVENT Equation for calculating 10-year risk. By the end of the module, learners will understand how to integrate personalized lifestyle modifications with pharmacological interventions to achieve effective risk reduction. The live lecture for this recording took place February 9, 2026.</w:instrText>
      </w:r>
      <w:r>
        <w:rPr>
          <w:rFonts w:ascii="Arial" w:eastAsia="Arial" w:hAnsi="Arial" w:cs="Arial"/>
          <w:b w:val="0"/>
          <w:bCs w:val="0"/>
          <w:i w:val="0"/>
          <w:iCs w:val="0"/>
          <w:caps w:val="0"/>
          <w:color w:val="000000"/>
          <w:spacing w:val="0"/>
          <w:sz w:val="24"/>
          <w:szCs w:val="24"/>
          <w:rtl w:val="0"/>
        </w:rPr>
        <w:instrText> </w:instrText>
      </w:r>
      <w:r>
        <w:rPr>
          <w:rtl w:val="0"/>
        </w:rPr>
        <w:instrText xml:space="preserve"> </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tl w:val="0"/>
        </w:rPr>
        <w:t>This lecture provides a comprehensive update on managing high blood pressure, the most prevalent and modifiable risk factor for cardiovascular disease. Participants will explore the critical goal of maintaining blood pressure below 130/80 mm Hg to manage hypertension among U.S. adults. A key focus includes implementing the 2025 ACC/AHA guidelines, specifically transitioning from the Pooled Cohort Equation to the new PREVENT Equation for calculating 10-year risk. By the end of the module, learners will understand how to integrate personalized lifestyle modifications with pharmacological interventions to achieve effective risk reduction. The live lecture for this recording took place February 9, 2026.</w:t>
      </w:r>
      <w:r>
        <w:rPr>
          <w:rFonts w:ascii="Arial" w:eastAsia="Arial" w:hAnsi="Arial" w:cs="Arial"/>
          <w:b w:val="0"/>
          <w:bCs w:val="0"/>
          <w:i w:val="0"/>
          <w:iCs w:val="0"/>
          <w:caps w:val="0"/>
          <w:color w:val="000000"/>
          <w:spacing w:val="0"/>
          <w:sz w:val="24"/>
          <w:szCs w:val="24"/>
          <w:rtl w:val="0"/>
        </w:rPr>
        <w:t> </w:t>
      </w:r>
      <w:r>
        <w:rPr>
          <w:rtl w:val="0"/>
        </w:rPr>
        <w:t xml:space="preserve"> </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Emergency Medicine, Family Medicine, Medicine, Neurology, Obstetrics &amp; Gynecology, Radiological Sciences, Cardiology, General Internal Medicine &amp; Primary Care, Pulmonary Diseases &amp; Critical Care Medicine, Rheumatology</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Non-Physician, Medical Assistant, Medical Student, Nurse, Nurse Practitioner, Pharmacist, Pharmacy Technician, Physician Assistant, Registered Dietitian, Resident Physician, Clinical Social Worker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Emergency Medicine, Family Medicine, Medicine, Neurology, Obstetrics &amp; Gynecology, Radiological Sciences, Cardiology, General Internal Medicine &amp; Primary Care, Pulmonary Diseases &amp; Critical Care Medicine, Rheumatology</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Emergency Medicine, Family Medicine, Medicine, Neurology, Obstetrics &amp; Gynecology, Radiological Sciences, Cardiology, General Internal Medicine &amp; Primary Care, Pulmonary Diseases &amp; Critical Care Medicine, Rheumatology</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Emergency Medicine, Family Medicine, Medicine, Neurology, Obstetrics &amp; Gynecology, Radiological Sciences, Cardiology, General Internal Medicine &amp; Primary Care, Pulmonary Diseases &amp; Critical Care Medicine, Rheumatology</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Non-Physician, Medical Assistant, Medical Student, Nurse, Nurse Practitioner, Pharmacist, Pharmacy Technician, Physician Assistant, Registered Dietitian, Resident Physician, Clinical Social Worker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Non-Physician, Medical Assistant, Medical Student, Nurse, Nurse Practitioner, Pharmacist, Pharmacy Technician, Physician Assistant, Registered Dietitian, Resident Physician, Clinical Social Worker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Non-Physician, Medical Assistant, Medical Student, Nurse, Nurse Practitioner, Pharmacist, Pharmacy Technician, Physician Assistant, Registered Dietitian, Resident Physician, Clinical Social Worker</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Emergency Medicine, Family Medicine, Medicine, Neurology, Obstetrics &amp; Gynecology, Radiological Sciences, Cardiology, General Internal Medicine &amp; Primary Care, Pulmonary Diseases &amp; Critical Care Medicine, Rheumatology</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Non-Physician, Medical Assistant, Medical Student, Nurse, Nurse Practitioner, Pharmacist, Pharmacy Technician, Physician Assistant, Registered Dietitian, Resident Physician, Clinical Social Worker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 xml:space="preserve">1 High blood pressure is the most prevalent and modifiable risk factor for cardiovascular disease and all-cause mortality; about 50% of U.S. adults will develop hypertension during their lifetimes. </w:instrText>
      </w:r>
    </w:p>
    <w:p w:rsidR="00467105" w:rsidP="0042796F">
      <w:pPr>
        <w:spacing w:after="0" w:line="240" w:lineRule="auto"/>
        <w:contextualSpacing/>
        <w:rPr>
          <w:sz w:val="20"/>
          <w:szCs w:val="20"/>
        </w:rPr>
      </w:pPr>
      <w:r>
        <w:rPr>
          <w:sz w:val="20"/>
          <w:szCs w:val="20"/>
        </w:rPr>
        <w:instrText xml:space="preserve">2 The goal for BP is &lt;130/80 mm Hg for all adults with additional considerations. </w:instrText>
      </w:r>
    </w:p>
    <w:p w:rsidR="00467105" w:rsidP="0042796F">
      <w:pPr>
        <w:spacing w:after="0" w:line="240" w:lineRule="auto"/>
        <w:contextualSpacing/>
        <w:rPr>
          <w:sz w:val="20"/>
          <w:szCs w:val="20"/>
        </w:rPr>
      </w:pPr>
      <w:r>
        <w:rPr>
          <w:sz w:val="20"/>
          <w:szCs w:val="20"/>
        </w:rPr>
        <w:instrText xml:space="preserve">3 The 2025 ACC/AHA High BP Guideline has a new way to calculate 10-year risk: PREVENT Equation instead of the Pooled Cohort Equation (PCE). Risk reduction requires a combination of lifestyle changes and medications.  </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 xml:space="preserve">1 High blood pressure is the most prevalent and modifiable risk factor for cardiovascular disease and all-cause mortality; about 50% of U.S. adults will develop hypertension during their lifetimes. </w:instrText>
      </w:r>
    </w:p>
    <w:p w:rsidP="0042796F">
      <w:pPr>
        <w:spacing w:after="0" w:line="240" w:lineRule="auto"/>
        <w:contextualSpacing/>
        <w:rPr>
          <w:sz w:val="24"/>
          <w:szCs w:val="24"/>
        </w:rPr>
      </w:pPr>
      <w:r>
        <w:rPr>
          <w:sz w:val="24"/>
          <w:szCs w:val="24"/>
        </w:rPr>
        <w:instrText xml:space="preserve">2 The goal for BP is &lt;130/80 mm Hg for all adults with additional considerations. </w:instrText>
      </w:r>
    </w:p>
    <w:p w:rsidP="0042796F">
      <w:pPr>
        <w:spacing w:after="0" w:line="240" w:lineRule="auto"/>
        <w:contextualSpacing/>
        <w:rPr>
          <w:sz w:val="24"/>
          <w:szCs w:val="24"/>
        </w:rPr>
      </w:pPr>
      <w:r>
        <w:rPr>
          <w:sz w:val="24"/>
          <w:szCs w:val="24"/>
        </w:rPr>
        <w:instrText xml:space="preserve">3 The 2025 ACC/AHA High BP Guideline has a new way to calculate 10-year risk: PREVENT Equation instead of the Pooled Cohort Equation (PCE). Risk reduction requires a combination of lifestyle changes and medications.  </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 xml:space="preserve">1 High blood pressure is the most prevalent and modifiable risk factor for cardiovascular disease and all-cause mortality; about 50% of U.S. adults will develop hypertension during their lifetimes. </w:t>
      </w:r>
    </w:p>
    <w:p w:rsidP="0042796F">
      <w:pPr>
        <w:spacing w:after="0" w:line="240" w:lineRule="auto"/>
        <w:contextualSpacing/>
        <w:rPr>
          <w:sz w:val="24"/>
          <w:szCs w:val="24"/>
        </w:rPr>
      </w:pPr>
      <w:r>
        <w:rPr>
          <w:sz w:val="24"/>
          <w:szCs w:val="24"/>
        </w:rPr>
        <w:t xml:space="preserve">2 The goal for BP is &lt;130/80 mm Hg for all adults with additional considerations. </w:t>
      </w:r>
    </w:p>
    <w:p w:rsidR="00467105" w:rsidP="0042796F">
      <w:pPr>
        <w:spacing w:after="0" w:line="240" w:lineRule="auto"/>
        <w:contextualSpacing/>
        <w:rPr>
          <w:sz w:val="20"/>
          <w:szCs w:val="20"/>
        </w:rPr>
      </w:pPr>
      <w:r>
        <w:rPr>
          <w:sz w:val="24"/>
          <w:szCs w:val="24"/>
        </w:rPr>
        <w:t xml:space="preserve">3 The 2025 ACC/AHA High BP Guideline has a new way to calculate 10-year risk: PREVENT Equation instead of the Pooled Cohort Equation (PCE). Risk reduction requires a combination of lifestyle changes and medications.  </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UC Berkeley, Right Care Initiative</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UC Berkeley</w:instrText>
      </w:r>
      <w:r w:rsidR="002B69BD">
        <w:rPr>
          <w:sz w:val="24"/>
          <w:szCs w:val="24"/>
        </w:rPr>
        <w:instrText>, Right Care Initiative</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UC Berkeley</w:t>
      </w:r>
      <w:r w:rsidR="002B69BD">
        <w:rPr>
          <w:sz w:val="24"/>
          <w:szCs w:val="24"/>
        </w:rPr>
        <w:t>, Right Care Initiative</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0.25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William Bommer,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Epstein,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Cindy Giambrone,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Stocks or stock options, excluding diversified mutual funds-Sanofi S.A.|Stocks or stock options, excluding diversified mutual funds-Abbott (Any division) (Relationship has ended) - 03/11/2026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Hattie Hanley,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Jan Hirsch,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Eleanor Levin,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Nathan D. Wong, PhD,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support-Novartis Corporation Pharmaceuticals|Consulting Fee-Novartis Corporation Pharmaceuticals|Consulting Fee-Amgen, Inc.|Consulting Fee-Ionis Pharmaceuticals|Grant or research support-Novo Nordisk (Any division) (Relationship has ended)|Consulting Fee-Heart Lung|Grant or research support-Amgen, Inc.|Speakers Bureau-Novartis Corporation Pharmaceuticals (Relationship has ended) - 03/09/2026</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